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The market capitalization of AAPL has shown a generally upward trend from 2009 to 2021, with significant growth spikes, particularly from 2017 to 2019 and again in 2020 and 2021. The market cap reached its lowest point in 2015 but steadily increased thereafter, reflecting the company's strong performance over the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