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Based on the provided excerpts from the organization's SOPs, here is a summary and some additional context regarding the company's financial and audit processes:</w:t>
        <w:br/>
        <w:br/>
        <w:t>### Financial Processes:</w:t>
        <w:br/>
        <w:t>1. **Quarterly Variance Reporting**:</w:t>
        <w:br/>
        <w:t xml:space="preserve">   - **Thresholds**: Variance in line-item amounts exceeding INR 25 lakh automatically triggers review.</w:t>
        <w:br/>
        <w:t xml:space="preserve">   - **Approval Authority**:</w:t>
        <w:br/>
        <w:t xml:space="preserve">     - **Department Head**: Up to INR 10 lakh.</w:t>
        <w:br/>
        <w:t xml:space="preserve">     - **General Manager (Finance)**: Up to INR 1 crore.</w:t>
        <w:br/>
        <w:t xml:space="preserve">     - **CFO and Board Investment Committee**: Above INR 1 crore.</w:t>
        <w:br/>
        <w:br/>
        <w:t>2. **Approval Process for Capital Expenditure (CapEx)**:</w:t>
        <w:br/>
        <w:t xml:space="preserve">   - **Scale**:</w:t>
        <w:br/>
        <w:t xml:space="preserve">     - **Department Head**: Up to INR 10 lakh.</w:t>
        <w:br/>
        <w:t xml:space="preserve">     - **General Manager (Finance)**: Up to INR 1 crore.</w:t>
        <w:br/>
        <w:t xml:space="preserve">     - **CFO and Board Investment Committee**: Above INR 1 crore.</w:t>
        <w:br/>
        <w:br/>
        <w:t>### Audit Processes:</w:t>
        <w:br/>
        <w:t>1. **Statutory Audit**:</w:t>
        <w:br/>
        <w:t xml:space="preserve">   - **Qualifications Response**: Written departmental responses to statutory audit qualifications must be submitted within 15 working days. If qualifications are repeated for two consecutive years, they automatically escalate to the Audit Committee of the Board.</w:t>
        <w:br/>
        <w:br/>
        <w:t>2. **Internal Audit**:</w:t>
        <w:br/>
        <w:t xml:space="preserve">   - **Risk Classification**: Internal audit findings are categorized into High, Medium, or Low risk.</w:t>
        <w:br/>
        <w:t xml:space="preserve">   - **High-Risk Findings**: Require a remediation plan with a named owner and a 30-day target closure date.</w:t>
        <w:br/>
        <w:t xml:space="preserve">   - **Audit Documentation**: All audit reports and working papers must be retained for future reference.</w:t>
        <w:br/>
        <w:br/>
        <w:t>### Additional Notes:</w:t>
        <w:br/>
        <w:t>- The Finance department, led by the Chief Financial Officer (CFO), is responsible for:</w:t>
        <w:br/>
        <w:t xml:space="preserve">  - Statutory and internal audit</w:t>
        <w:br/>
        <w:t xml:space="preserve">  - Budgeting and variance control</w:t>
        <w:br/>
        <w:t xml:space="preserve">  - Treasury and cash flow management</w:t>
        <w:br/>
        <w:t xml:space="preserve">  - Taxation and statutory compliance</w:t>
        <w:br/>
        <w:t xml:space="preserve">  - Accounts payable and receivable</w:t>
        <w:br/>
        <w:t xml:space="preserve">  - Financial reporting to the Board and regulators</w:t>
        <w:br/>
        <w:br/>
        <w:t>### Specific Financial Ratios:</w:t>
        <w:br/>
        <w:t>- **Net Capital Turnover Ratio**: Improved from 0.21 in FY 23-24 to 0.32 in FY 24-25, indicating an increase in sales relative to net working capital.</w:t>
        <w:br/>
        <w:br/>
        <w:t>### Key Considerations:</w:t>
        <w:br/>
        <w:t>- The company's financial processes are designed to ensure timely and accurate reporting, with strict controls on variance and approval thresholds.</w:t>
        <w:br/>
        <w:t>- The audit procedures are structured to identify and address risks, with a particular focus on high-risk findings and retention of all audit documentation.</w:t>
        <w:br/>
        <w:br/>
        <w:t>These processes reflect the company's commitment to maintaining robust financial management and internal controls, aligning with legal and regulatory requirements.</w:t>
        <w:br/>
        <w:br/>
        <w:t>⚠️ Citation check: the following cited author name(s) were not found anywhere in the uploaded document and may be fabricated or misattributed: CapEx. Verify against the original references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