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market capitalization of the entity has been steadily increasing over the past decade, with the largest jump occurring between 2021 and 2022. The growth in market capitalization has been slower between 2020 and 2022, and even slower between 2018 and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