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market capitalization of the company has been steadily increasing over the years, with a significant surge in 2021 followed by a gradual growth in 2022. However, the pace of growth has slowed down significantly since 2021, with a notable decline in 2019. The market capitalization has been steadily increasing since 2012, with a few fluctuations in between.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