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The debt-to-equity ratio has trended downward over the years, decreasing from 2.3695 in 2022 to 0.0 in 2012, with a significant decrease from 1.194 in 2019 to 0.0 in 2012. Concurrently, the current ratio has increased from 0.8794 in 2022 to 1.6084 in 2011, indicating an improvement in the company's liquidity. The overall trend suggests a decrease in the company's debt burden and an improvement in its ability to meet short-term obligations.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