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debt-to-equity ratio has increased significantly over the past decade, with the ratio reaching nearly 0 in 2012, indicating an extremely low level of debt. Conversely, the current ratio has steadily declined, dropping from 1.6084 in 2011 to 1.0801 in 2014, suggesting a decrease in the company's ability to meet its short-term obligations.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