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The data shows a significant decrease in the debt-to-equity ratio, from 2.3695 in 2022 to 0.0 in 2012, indicating a complete elimination of debt. Meanwhile, the current ratio has remained relatively stable, ranging from 0.8794 in 2022 to 1.6084 in 2011. The trend suggests a period of debt consolidation or elimination, with the company adopting a more conservative approach to its financial obligations.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