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Over the period, the Debt/Equity Ratio decreased significantly from 2.3695 in 2022 to 0.0 in 2012, while the Current Ratio decreased from 1.0746 in 2021 to 1.4958 in 2012. The Debt/Equity Ratio shows a gradual trend towards zero, indicating a complete elimination of debt, while the Current Ratio also shows a decrease, but with more variability and a slower decline. Both ratios have become more stable and low, suggesting improved financial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