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1. Short answer with the direct result:</w:t>
        <w:br/>
        <w:t>Not enough evidence in the uploaded file to generate a visual chart comparing the debt-to-equity ratio and current ratio across the recorded financial periods.</w:t>
        <w:br/>
        <w:br/>
        <w:t>2. Evidence from the uploaded file:</w:t>
        <w:br/>
        <w:t>There is no column for "Debt" or "Current Ratio" in the Financial Statements_1788713221.csv file.</w:t>
        <w:br/>
        <w:br/>
        <w:t>3. Not applicable.</w:t>
        <w:br/>
        <w:br/>
        <w:t>4. Data limitation note:</w:t>
        <w:br/>
        <w:t>There is no direct evidence in the uploaded file to calculate or compare debt-to-equity ratio and current ratio. The necessary data points for these ratios are missing.</w:t>
        <w:br/>
        <w:br/>
        <w:t>5. Not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