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data shows a declining trend in the debt-to-equity ratio over the past decade, from a ratio of 0.0 in 2012 and 0.0 in 2011, to a ratio of 0.1373 in 2013, indicating a significant reduction in debt burden. In contrast, the current ratio has generally increased, from a ratio of 1.6084 in 2011 to a ratio of 1.6786 in 2013, suggesting an improvement in the company's liquidity position. This upward trend in the current ratio is more pronounced than the downward trend in the debt-to-equity ratio.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