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The debt-to-equity ratio decreased significantly over the period, from a high of 2.3695 in 2022 to a low of 0.0 in 2012, indicating a substantial reduction in the company's debt. Meanwhile, the current ratio increased, showing improvement in the company's ability to meet its current liabilities. The trend suggests that the company has made efforts to reduce its debt burden, while maintaining a relatively strong current ratio.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