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General Report</w:t>
      </w:r>
    </w:p>
    <w:p>
      <w:r>
        <w:t>The debt-to-equity ratio and current ratio have been trending downward over the years, with a sharp decline in the 2012 period. The current ratio has remained relatively stable, while the debt-to-equity ratio has decreased significantly, indicating a reduction in debt as a proportion of equity. The ratio has decreased from a high of 2.3695 in 2022 to 0 in 2012 and 2011, suggesting a notable shift towards a more conservative approach to financing.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