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General Report</w:t>
      </w:r>
    </w:p>
    <w:p>
      <w:r>
        <w:t>The debt-to-equity ratio has decreased significantly over the past decade, from 2.3695 in 2022 to 0.0 in 2012, indicating a substantial reduction in debt levels. Meanwhile, the current ratio has fluctuated, showing a general trend of increasing from 1.0746 in 2021 to 1.6084 in 2011, suggesting an improvement in liquidity over the period. Despite this, the current ratio is still lower than its 2013 high of 1.6786, indicating room for further improvement.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