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company's value has remained constant at 0.0 for each year from 2012 to 2022, indicating a stable performance or lack of growth over this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