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CONFIDENTIAL - SOVEREIGN AI WORKBENCH</w:t>
      </w:r>
    </w:p>
    <w:p>
      <w:pPr>
        <w:pStyle w:val="Heading1"/>
      </w:pPr>
      <w:r>
        <w:t>General Report</w:t>
      </w:r>
    </w:p>
    <w:p>
      <w:r>
        <w:t>I can help you summarize the text. However, I need to clarify that the text appears to be a sample resolution and notice for an Annual General Meeting (AGM) of a company. Here's a summary of the main points:</w:t>
        <w:br/>
        <w:br/>
        <w:t>**Resolutions**</w:t>
        <w:br/>
        <w:br/>
        <w:t>1. Re-appointment of Shri D.H. Parekh as Executive Director for a period of 2 years.</w:t>
        <w:br/>
        <w:t>2. Approval of remuneration for Shri D.H. Parekh.</w:t>
        <w:br/>
        <w:t>3. Authorization for the Board to alter and vary the terms of re-appointment and remuneration.</w:t>
        <w:br/>
        <w:t>4. Approval of M/s S.K. Dwivedi &amp; Associates as Secretarial Auditors for a term of 5 consecutive Financial Years.</w:t>
        <w:br/>
        <w:br/>
        <w:t>**Notice**</w:t>
        <w:br/>
        <w:br/>
        <w:t>1. The AGM is being held through Video Conferencing (VC) / Other Audio Visual Means (OAVM) in compliance with the provisions of the Companies Act, 2013, SEBI Listing Regulations, and MCA Circulars.</w:t>
        <w:br/>
        <w:t>2. Physical attendance of Members is not required, and the facility for appointment of proxies is not available.</w:t>
        <w:br/>
        <w:t>3. Notice and Annual Report for financial year 2024-25 are being sent only through electronic mode to registered email addresses or Depositories.</w:t>
        <w:br/>
        <w:t>4. Members are requested to register/update their email addresses to receive electronic communications.</w:t>
        <w:br/>
        <w:br/>
        <w:t>**Other**</w:t>
        <w:br/>
        <w:br/>
        <w:t>1. The Company has engaged KFin Technologies Limited as the authorized agency for conducting the e-AGM and providing e-voting facility.</w:t>
        <w:br/>
        <w:t>2. SEBI has mandated that dividend payments to security holders holding securities in physical form should be made only through electronic mode, effective April 1, 2024.</w:t>
        <w:br/>
        <w:br/>
        <w:t>Please note that this is a sample text, and the actual AGM notice and resolutions may vary depending on the company's specific requirements and circumstances.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