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Over the past decade, the company's debt-to-equity ratio has decreased significantly, from a high of 2.3695 in 2022 to a low of 0.0 in 2012, indicating a substantial reduction in debt. Conversely, the current ratio has also decreased, from 1.0746 in 2021 to 1.6084 in 2011, suggesting a decrease in liquidity. Despite the decline in both ratios, the company has shown a trend of stabilizing debt and improving liquidity.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