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 SOVEREIGN AI WORKBENCH</w:t>
      </w:r>
    </w:p>
    <w:p>
      <w:pPr>
        <w:pStyle w:val="Heading1"/>
      </w:pPr>
      <w:r>
        <w:t>General Report</w:t>
      </w:r>
    </w:p>
    <w:p>
      <w:r>
        <w:t>Based on the provided text, the Standard Industries Limited is holding its Annual General Meeting (AGM) through Video Conferencing (VC) / Other Audio Visual Means (OAVM) due to the COVID-19 pandemic. The meeting is being held in compliance with the provisions of the Companies Act, 2013, SEBI (Listing Obligations and Disclosure Requirements) Regulations, 2015, and other applicable rules and regulations.</w:t>
        <w:br/>
        <w:br/>
        <w:t>The agenda for the meeting includes:</w:t>
        <w:br/>
        <w:br/>
        <w:t>1. Reappointment of Shri D.H. Parekh as Executive Director for a period of 2 years commencing from 2nd August, 2025 to 1st August, 2027.</w:t>
        <w:br/>
        <w:t>2. Approval of remuneration payable to Shri D.H. Parekh.</w:t>
        <w:br/>
        <w:t>3. Appointment of M/s S.K. Dwivedi &amp; Associates as Secretarial Auditors for a term of five consecutive Financial Years.</w:t>
        <w:br/>
        <w:t>4. Authorization to the Board of Directors to do all necessary acts, deeds, and things to give effect to the resolutions.</w:t>
        <w:br/>
        <w:br/>
        <w:t>The meeting is being conducted through VC/OAVM, and physical attendance of Members is not required. The facility for appointment of proxies is not available, and hence the Proxy Form and Attendance Slip are not annexed to the Notice.</w:t>
        <w:br/>
        <w:br/>
        <w:t>The Company has engaged the services of KFin Technologies Limited, Registrar and Transfer Agent, to conduct the e-AGM and provide e-voting facility.</w:t>
        <w:br/>
        <w:br/>
        <w:t>Relevant FAQs and guidelines for the meeting can be viewed on the SEBI website.</w:t>
        <w:br/>
        <w:br/>
        <w:t>Members holding shares in physical form, whose folio(s) are updated with PAN, Choice of Nomination, Contact Details, Mobile Number, Bank Account Details, and updated Specimen Signature, will only be eligible for any payment, including dividends, interest, or redemption, through electronic mode from April 01, 2024, as per SEBI directives.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