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debt-to-equity ratio has been steadily declining over the years, from a high of 2.3695 in 2022 to a low of 0.1373 in 2013, indicating a reduction in leverage. Meanwhile, the current ratio has also shown a decline, from a high of 1.6084 in 2011 to a low of 0.8794 in 2022, suggesting an improvement in the company's ability to pay its short-term debts. However, the current ratio has remained significantly higher than the debt-to-equity ratio throughout the period, indicating that the company's reliance on short-term financing has increased.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