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CONFIDENTIAL - SOVEREIGN AI WORKBENCH</w:t>
      </w:r>
    </w:p>
    <w:p>
      <w:pPr>
        <w:pStyle w:val="Heading1"/>
      </w:pPr>
      <w:r>
        <w:t>General Report</w:t>
      </w:r>
    </w:p>
    <w:p>
      <w:r>
        <w:t>The data shows a sharp decline in the debt-to equity ratio from 2013 onwards, indicating a significant reduction in the company's indebtedness. The current ratio, on the other hand, shows a more gradual increase over the same period, suggesting a improvement in the company's liquidity. Overall, the trend indicates a marked shift towards a more debt-efficient financial posture.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