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General Report</w:t>
      </w:r>
    </w:p>
    <w:p>
      <w:r>
        <w:t>The debt-to-equity ratio has steadily decreased over the years, from a value of 0.1373 in 2013 to 0 in both 2012 and 2011, indicating a significant reduction in the company's debt levels. Meanwhile, the current ratio has generally trended upward, from a value of 0.6786 in 2016 to 1.6084 in 2011.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