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The Debt/Equity Ratio has decreased significantly over the past decade, from a high of 2.3695 in 2022 to a low of 0.0 in 2012, indicating a substantial reduction in debt. Meanwhile, the Current Ratio has generally trended upwards, from 0.8794 in 2022 to 1.6084 in 2011, suggesting an improvement in the company's ability to pay current liabilities.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