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provided text appears to be an excerpt from the Budget Speech of the Indian Government, outlining various initiatives and proposals for the upcoming fiscal year. Here's a summary of the key points:</w:t>
        <w:br/>
        <w:br/>
        <w:t>**Infrastructure Development**</w:t>
        <w:br/>
        <w:br/>
        <w:t>* The government proposes to allocate ₹ 10,000 crore for a Scheme to create a globally competitive container manufacturing ecosystem.</w:t>
        <w:br/>
        <w:t>* Mega Textile Parks will be set up to promote value addition to technical textiles.</w:t>
        <w:br/>
        <w:t>* A dedicated initiative for sports goods will be launched to promote manufacturing, research, and innovation.</w:t>
        <w:br/>
        <w:t>* ₹ 10,000 crore will be allocated for the revival of 200 legacy industrial clusters to improve their cost competitiveness and efficiency.</w:t>
        <w:br/>
        <w:br/>
        <w:t>**Labor Intensive Sectors**</w:t>
        <w:br/>
        <w:br/>
        <w:t>* A National Fibre Scheme will be launched to promote self-reliance in natural fibres.</w:t>
        <w:br/>
        <w:t>* A Textile Expansion and Employment Scheme will be implemented to modernize traditional clusters with capital support for machinery, technology upgradation, and common testing and certification centers.</w:t>
        <w:br/>
        <w:t>* A National Handloom and Handicraft programme will be strengthened to integrate and support weavers and artisans.</w:t>
        <w:br/>
        <w:t>* The Samarth 2.0 initiative will be launched to modernize and upgrade the textile skilling ecosystem.</w:t>
        <w:br/>
        <w:br/>
        <w:t>**MSME Support**</w:t>
        <w:br/>
        <w:br/>
        <w:t>* ₹ 10,000 crore will be allocated for the SME Growth Fund to create future Champions.</w:t>
        <w:br/>
        <w:t>* The Self-Reliant India Fund will be top-upped with ₹ 2,000 crore to support micro enterprises and maintain their access to risk capital.</w:t>
        <w:br/>
        <w:br/>
        <w:t>**Liquidity Support**</w:t>
        <w:br/>
        <w:br/>
        <w:t>* TReDS will be mandated as the transaction settlement platform for all purchases from MSMEs by CPSEs.</w:t>
        <w:br/>
        <w:t>* A credit guarantee support mechanism will be introduced through CGTMSE for invoice discounting on TReDS platform.</w:t>
        <w:br/>
        <w:t>* GeM will be linked with TReDS to share information with financiers about government purchases from MSMEs.</w:t>
        <w:br/>
        <w:br/>
        <w:t>**Professional Support**</w:t>
        <w:br/>
        <w:br/>
        <w:t>* Government will facilitate Professional Institutions to design short-term, modular courses and practical tools to develop a cadre of 'Corporate Mitras'.</w:t>
        <w:br/>
        <w:br/>
        <w:t>**Infrastructure Development**</w:t>
        <w:br/>
        <w:br/>
        <w:t>* Public capex will be increased to ₹ 12.2 lakh crore in FY2026-27.</w:t>
        <w:br/>
        <w:t>* An Infrastructure Risk Guarantee Fund will be set up to provide prudently calibrated partial credit guarantees to lenders.</w:t>
        <w:br/>
        <w:br/>
        <w:t>**Transportation and Logistics**</w:t>
        <w:br/>
        <w:br/>
        <w:t>* Dedicated Freight Corridors will be established to promote environmentally sustainable movement of cargo.</w:t>
        <w:br/>
        <w:t>* National Waterways will be operationalized to connect mineral-rich areas with industrial centers.</w:t>
        <w:br/>
        <w:t>* A Coastal Cargo Promotion Scheme will be launched to incentivize a modal shift from rail and road to inland waterways and coastal shipping.</w:t>
        <w:br/>
        <w:br/>
        <w:t>**Carbon Capture Utilization and Storage (CCUS)**</w:t>
        <w:br/>
        <w:br/>
        <w:t>* An outlay of ₹ 20,000 crore will be proposed over the next 5 years to develop CCUS technologies at scale.</w:t>
        <w:br/>
        <w:br/>
        <w:t>**City Economic Regions**</w:t>
        <w:br/>
        <w:br/>
        <w:t>* ₹ 5000 crore per City Economic Region (CER) will be allocated over 5 years to implement plans through a challenge mode with a reform-cum-results based financing mechanism.</w:t>
        <w:br/>
        <w:br/>
        <w:t>**Financial Sector**</w:t>
        <w:br/>
        <w:br/>
        <w:t>* A High Level Committee on Banking for Viksit Bharat will be set up to comprehensively review the sector and align it with India's next phase of growth.</w:t>
        <w:br/>
        <w:t>* A comprehensive review of the Foreign Exchange Management (Non-debt Instruments) Rules will be proposed to create a more contemporary, user-friendly framework for foreign investments.</w:t>
        <w:br/>
        <w:t>* The corporate bond market will be developed with a market making framework and total return swaps.</w:t>
        <w:br/>
        <w:br/>
        <w:t>**Ease of Doing Business**</w:t>
        <w:br/>
        <w:br/>
        <w:t>* Individual Persons Resident Outside India (PROI) will be permitted to invest in equity instruments of listed Indian companies through the Portfolio Investment Scheme.</w:t>
        <w:br/>
        <w:t>* The investment limit for an individual PROI under this scheme will be increased from 5% to 10%, with an overall investment limit for all individual PROIs to 24%.</w:t>
        <w:br/>
        <w:br/>
        <w:t>**Emerging Technologies**</w:t>
        <w:br/>
        <w:br/>
        <w:t>* The government has taken several steps to support new technologies through AI Mission, National Quantum Initiative, and other initiatives.</w:t>
        <w:br/>
        <w:br/>
        <w:t>Overall, the Budget Speech proposes a wide range of initiatives to promote economic growth, job creation, and infrastructure development in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