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General Report</w:t>
      </w:r>
    </w:p>
    <w:p>
      <w:r>
        <w:t>I can provide the information in a format that follows the required structure.</w:t>
        <w:br/>
        <w:br/>
        <w:t>**Annual General Meeting (AGM) Notice**</w:t>
        <w:br/>
        <w:br/>
        <w:t>**Date:** August 10, 2025</w:t>
        <w:br/>
        <w:t>**Time:** 10:00 AM IST</w:t>
        <w:br/>
        <w:t>**Location:** Virtual Meeting (VC/OAVM)</w:t>
        <w:br/>
        <w:t>**Attendees:** Members of Standard Industries Limited</w:t>
        <w:br/>
        <w:br/>
        <w:t>**Agenda:**</w:t>
        <w:br/>
        <w:br/>
        <w:t>1. Re-appointment of Shri D.H. Parekh as Executive Director</w:t>
        <w:br/>
        <w:t>2. Approval of Remuneration for Shri D.H. Parekh</w:t>
        <w:br/>
        <w:t>3. Appointment of Secretarial Auditors</w:t>
        <w:br/>
        <w:t>4. Approval of other resolutions</w:t>
        <w:br/>
        <w:br/>
        <w:t>**Resolutions:**</w:t>
        <w:br/>
        <w:br/>
        <w:t>1. Re-appointment of Shri D.H. Parekh as Executive Director</w:t>
        <w:br/>
        <w:tab/>
        <w:t>* Resolved that Shri D.H. Parekh be re-appointed as Executive Director for a period of 2 years commencing from August 2, 2025, to July 31, 2027.</w:t>
        <w:br/>
        <w:tab/>
        <w:t>* Resolved that the remuneration for Shri D.H. Parekh be paid as set out in the Explanatory Statement.</w:t>
        <w:br/>
        <w:t>2. Appointment of Secretarial Auditors</w:t>
        <w:br/>
        <w:tab/>
        <w:t>* Resolved that M/s S.K. Dwivedi &amp; Associates be appointed as Secretarial Auditors for a term of five consecutive Financial Years.</w:t>
        <w:br/>
        <w:tab/>
        <w:t>* Resolved that the remuneration for M/s S.K. Dwivedi &amp; Associates be determined by the Board of Directors.</w:t>
        <w:br/>
        <w:t>3. Other Resolutions</w:t>
        <w:br/>
        <w:tab/>
        <w:t>* Resolved that the Board be authorized to do all acts, deeds, and things necessary to give effect to the resolutions.</w:t>
        <w:br/>
        <w:tab/>
        <w:t>* Resolved that the Company be authorized to avail or obtain from the Secretarial Auditor, such other services or certificates, reports, or opinions as may be eligible to provide or issue under applicable laws.</w:t>
        <w:br/>
        <w:br/>
        <w:t>**Notes:**</w:t>
        <w:br/>
        <w:br/>
        <w:t>1. Statement pursuant to Section 102(1) of the Companies Act, 2013, is annexed hereto.</w:t>
        <w:br/>
        <w:t>2. The Company has engaged the services of KFin Technologies Limited, Registrar and Transfer Agent, for conducting the e-AGM and providing e-voting facility.</w:t>
        <w:br/>
        <w:t>3. The Company has mandated that all dividends to security holders holding securities in physical form shall be paid only through electronic mode, effective April 1, 2024.</w:t>
        <w:br/>
        <w:t>4. Relevant FAQs published by SEBI can be viewed at the following link: https://www.sebi.gov.in/sebiweb/other/OtherAction.do?doFaq=yes</w:t>
        <w:br/>
        <w:br/>
        <w:t>**Important Dates:**</w:t>
        <w:br/>
        <w:br/>
        <w:t>* August 2, 2025: Commencement of Shri D.H. Parekh's tenure as Executive Director</w:t>
        <w:br/>
        <w:t>* April 1, 2024: Effective date for electronic payment of dividends</w:t>
        <w:br/>
        <w:t>* August 10, 2025: Date of AGM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