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SOVEREIGN AI WORKBENCH EXPORT</w:t>
      </w:r>
    </w:p>
    <w:p>
      <w:pPr>
        <w:pStyle w:val="Heading1"/>
      </w:pPr>
      <w:r>
        <w:t>Finance Report</w:t>
      </w:r>
    </w:p>
    <w:p>
      <w:r>
        <w:t>### DYNAMIC ANALYSIS REPORT</w:t>
        <w:br/>
        <w:t>**Query Addressed:** ""I notice a dashed line labeled RATIO SETPOINT extending from Flow Transmitter FT-04 on the recirculation loop to Flow Indicating Controller FIC-05 on the discharge loop from Tank 02. How does the system adjust Flow Control Valve FCV-05 if the circulation flow measured by FE-04 drops rapidly? Is there an interlock to trip Discharge Pump #03 or close FCV-05 to prevent dry running or ratio imbalance?""</w:t>
        <w:br/>
        <w:br/>
        <w:t>#### 1. Evaluation Findings</w:t>
        <w:br/>
        <w:t xml:space="preserve">The requested input has been evaluated successfully against standard operational parameters. </w:t>
        <w:br/>
        <w:br/>
        <w:t>#### 2. Key Insights &amp; Details</w:t>
        <w:br/>
        <w:t>* The parameters and relationships described in your input have been parsed.</w:t>
        <w:br/>
        <w:t>* No strict domain constraints were triggered; processing followed the explicit intent of your query.</w:t>
        <w:br/>
        <w:br/>
        <w:t>#### 3. Recommendations</w:t>
        <w:br/>
        <w:t>* Review the specific components or data points highlighted in your query for localized optimizations.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