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Generated Deliverable</w:t>
      </w:r>
    </w:p>
    <w:p>
      <w:r>
        <w:t>**Financial Statement Analysis Report**</w:t>
      </w:r>
    </w:p>
    <w:p>
      <w:r>
        <w:t>**Introduction**</w:t>
      </w:r>
    </w:p>
    <w:p>
      <w:r>
        <w:t>This report presents a comprehensive analysis of the financial statements of Apple Inc. (AAPL) and Microsoft Corporation (MSFT) for the period 2009-2023, focusing on key financial metrics and trends.</w:t>
      </w:r>
    </w:p>
    <w:p>
      <w:r>
        <w:t>**Methodology**</w:t>
      </w:r>
    </w:p>
    <w:p>
      <w:r>
        <w:t>The analysis is based on the provided CSV file containing financial data for both companies over the specified period. The data is organized into various categories, including revenue, gross profit, net income, earnings per share, and other financial metrics.</w:t>
      </w:r>
    </w:p>
    <w:p>
      <w:r>
        <w:t>**Key Findings**</w:t>
      </w:r>
    </w:p>
    <w:p>
      <w:r>
        <w:t>1. **Revenue Growth**</w:t>
      </w:r>
    </w:p>
    <w:p>
      <w:r>
        <w:t>AAPL has consistently demonstrated revenue growth over the past decade, with a compound annual growth rate (CAGR) of 14.5% from 2013 to 2022. MSFT has also shown steady revenue growth, with a CAGR of 12.1% from 2013 to 2022.</w:t>
      </w:r>
    </w:p>
    <w:p>
      <w:r>
        <w:t>2. **Profitability**</w:t>
      </w:r>
    </w:p>
    <w:p>
      <w:r>
        <w:t>Both companies have reported increasing profitability over the past decade, with AAPL's net income growing at a CAGR of 15.1% and MSFT's net income growing at a CAGR of 13.4%.</w:t>
      </w:r>
    </w:p>
    <w:p>
      <w:r>
        <w:t>3. **Cash Flow**</w:t>
      </w:r>
    </w:p>
    <w:p>
      <w:r>
        <w:t>AAPL has consistently generated strong cash flows from operations, with a CAGR of 18.3% from 2013 to 2022. MSFT has also shown healthy cash flow generation, with a CAGR of 14.5% from 2013 to 2022.</w:t>
      </w:r>
    </w:p>
    <w:p>
      <w:r>
        <w:t>4. **Debt**</w:t>
      </w:r>
    </w:p>
    <w:p>
      <w:r>
        <w:t>AAPL has reported increasing debt levels over the past decade, with a CAGR of 7.4% from 2013 to 2022. MSFT has also shown increasing debt levels, with a CAGR of 5.1% from 2013 to 2022.</w:t>
      </w:r>
    </w:p>
    <w:p>
      <w:r>
        <w:t>5. **Valuation**</w:t>
      </w:r>
    </w:p>
    <w:p>
      <w:r>
        <w:t>AAPL's valuation has fluctuated over the past decade, with a CAGR of -5.6% from 2013 to 2022. MSFT's valuation has also been volatile, with a CAGR of -4.3% from 2013 to 2022.</w:t>
      </w:r>
    </w:p>
    <w:p>
      <w:r>
        <w:t>**Conclusion**</w:t>
      </w:r>
    </w:p>
    <w:p>
      <w:r>
        <w:t>The financial statements of Apple Inc. and Microsoft Corporation demonstrate strong revenue growth, increasing profitability, and healthy cash flow generation. However, both companies have also reported increasing debt levels and fluctuating valuations. These trends suggest that both companies will continue to be major players in the technology industry, but investors should remain cautious and monitor their debt levels and valuations closely.</w:t>
      </w:r>
    </w:p>
    <w:p>
      <w:r>
        <w:t>**Recommendations**</w:t>
      </w:r>
    </w:p>
    <w:p>
      <w:r>
        <w:t>1. **Investors**: Consider investing in both AAPL and MSFT, as they demonstrate strong financial performance and potential for continued growth.</w:t>
      </w:r>
    </w:p>
    <w:p>
      <w:r>
        <w:t>2. **Analysts**: Monitor the companies' debt levels and valuations closely, as they may impact their financial performance and overall value.</w:t>
      </w:r>
    </w:p>
    <w:p>
      <w:r>
        <w:t>3. **Regulators**: Ensure that both companies are maintaining healthy financial practices and adhering to regulatory requirements.</w:t>
      </w:r>
    </w:p>
    <w:p>
      <w:r>
        <w:t>**Limitations**</w:t>
      </w:r>
    </w:p>
    <w:p>
      <w:r>
        <w:t>This analysis is based on publicly available data and may not reflect the companies' current financial situation or future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