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E61E5" w14:textId="77777777" w:rsidR="009630E5" w:rsidRPr="009630E5" w:rsidRDefault="009630E5" w:rsidP="009630E5">
      <w:r w:rsidRPr="009630E5">
        <w:t>Summary</w:t>
      </w:r>
    </w:p>
    <w:p w14:paraId="68FE9416" w14:textId="77777777" w:rsidR="009630E5" w:rsidRPr="009630E5" w:rsidRDefault="009630E5" w:rsidP="009630E5">
      <w:r w:rsidRPr="009630E5">
        <w:t>This paper proposes an “AI Cardiologist” decision-support system for predicting prevalent cardiovascular disease using nonclinical, self-reported survey data from the CDC’s BRFSS. The authors compare several classifiers (SVM, Decision Trees, Neural Networks, KNN, Random Forest, Ensemble) and select an Ensemble model that purportedly achieves up to 89.1% accuracy on a held-out test set, supplementing results with ELI5-based global and local explanations. The paper emphasizes transparency, population-level applicability, and clinician trust, while acknowledging that the system is intended for screening and risk stratification rather than definitive diagnosis.</w:t>
      </w:r>
    </w:p>
    <w:p w14:paraId="0984009D" w14:textId="77777777" w:rsidR="009630E5" w:rsidRPr="009630E5" w:rsidRDefault="009630E5" w:rsidP="009630E5">
      <w:r w:rsidRPr="009630E5">
        <w:t>Strengths</w:t>
      </w:r>
    </w:p>
    <w:p w14:paraId="28183ABD" w14:textId="77777777" w:rsidR="009630E5" w:rsidRPr="009630E5" w:rsidRDefault="009630E5" w:rsidP="009630E5">
      <w:pPr>
        <w:numPr>
          <w:ilvl w:val="0"/>
          <w:numId w:val="5"/>
        </w:numPr>
      </w:pPr>
      <w:r w:rsidRPr="009630E5">
        <w:t>Technical novelty and innovation</w:t>
      </w:r>
    </w:p>
    <w:p w14:paraId="449224E0" w14:textId="77777777" w:rsidR="009630E5" w:rsidRPr="009630E5" w:rsidRDefault="009630E5" w:rsidP="009630E5">
      <w:pPr>
        <w:numPr>
          <w:ilvl w:val="1"/>
          <w:numId w:val="5"/>
        </w:numPr>
      </w:pPr>
      <w:r w:rsidRPr="009630E5">
        <w:t>Uses a large, nationally representative survey dataset (BRFSS) and discusses survey weighting and raking, which are often overlooked in ML pipelines.</w:t>
      </w:r>
    </w:p>
    <w:p w14:paraId="359D7267" w14:textId="77777777" w:rsidR="009630E5" w:rsidRPr="009630E5" w:rsidRDefault="009630E5" w:rsidP="009630E5">
      <w:pPr>
        <w:numPr>
          <w:ilvl w:val="1"/>
          <w:numId w:val="5"/>
        </w:numPr>
      </w:pPr>
      <w:r w:rsidRPr="009630E5">
        <w:t>Incorporates explainability (ELI5) for both global and local perspectives and explicitly frames the system as decision support.</w:t>
      </w:r>
    </w:p>
    <w:p w14:paraId="743AA8C4" w14:textId="77777777" w:rsidR="009630E5" w:rsidRPr="009630E5" w:rsidRDefault="009630E5" w:rsidP="009630E5">
      <w:pPr>
        <w:numPr>
          <w:ilvl w:val="0"/>
          <w:numId w:val="5"/>
        </w:numPr>
      </w:pPr>
      <w:r w:rsidRPr="009630E5">
        <w:t>Experimental rigor and validation</w:t>
      </w:r>
    </w:p>
    <w:p w14:paraId="09694EC2" w14:textId="77777777" w:rsidR="009630E5" w:rsidRPr="009630E5" w:rsidRDefault="009630E5" w:rsidP="009630E5">
      <w:pPr>
        <w:numPr>
          <w:ilvl w:val="1"/>
          <w:numId w:val="5"/>
        </w:numPr>
      </w:pPr>
      <w:r w:rsidRPr="009630E5">
        <w:t>Attempts to benchmark multiple model families and claims to focus on clinically relevant metrics (recall and AUC) in addition to accuracy.</w:t>
      </w:r>
    </w:p>
    <w:p w14:paraId="27FF1D27" w14:textId="77777777" w:rsidR="009630E5" w:rsidRPr="009630E5" w:rsidRDefault="009630E5" w:rsidP="009630E5">
      <w:pPr>
        <w:numPr>
          <w:ilvl w:val="1"/>
          <w:numId w:val="5"/>
        </w:numPr>
      </w:pPr>
      <w:r w:rsidRPr="009630E5">
        <w:t>Acknowledges key limitations, including label noise in self-reports and lack of external validation.</w:t>
      </w:r>
    </w:p>
    <w:p w14:paraId="010E2F3F" w14:textId="77777777" w:rsidR="009630E5" w:rsidRPr="009630E5" w:rsidRDefault="009630E5" w:rsidP="009630E5">
      <w:pPr>
        <w:numPr>
          <w:ilvl w:val="0"/>
          <w:numId w:val="5"/>
        </w:numPr>
      </w:pPr>
      <w:r w:rsidRPr="009630E5">
        <w:t>Clarity of presentation</w:t>
      </w:r>
    </w:p>
    <w:p w14:paraId="183741B5" w14:textId="77777777" w:rsidR="009630E5" w:rsidRPr="009630E5" w:rsidRDefault="009630E5" w:rsidP="009630E5">
      <w:pPr>
        <w:numPr>
          <w:ilvl w:val="1"/>
          <w:numId w:val="5"/>
        </w:numPr>
      </w:pPr>
      <w:r w:rsidRPr="009630E5">
        <w:t>The problem setting and outcome definition using _MICHD are clearly described, and the paper consistently positions the work as non-diagnostic screening support.</w:t>
      </w:r>
    </w:p>
    <w:p w14:paraId="1AE06A9D" w14:textId="77777777" w:rsidR="009630E5" w:rsidRPr="009630E5" w:rsidRDefault="009630E5" w:rsidP="009630E5">
      <w:pPr>
        <w:numPr>
          <w:ilvl w:val="1"/>
          <w:numId w:val="5"/>
        </w:numPr>
      </w:pPr>
      <w:r w:rsidRPr="009630E5">
        <w:t>The methodology sections on BRFSS design, weighting, and raking show awareness of survey-methodology considerations.</w:t>
      </w:r>
    </w:p>
    <w:p w14:paraId="2E66CE4F" w14:textId="77777777" w:rsidR="009630E5" w:rsidRPr="009630E5" w:rsidRDefault="009630E5" w:rsidP="009630E5">
      <w:pPr>
        <w:numPr>
          <w:ilvl w:val="0"/>
          <w:numId w:val="5"/>
        </w:numPr>
      </w:pPr>
      <w:r w:rsidRPr="009630E5">
        <w:t>Significance of contributions</w:t>
      </w:r>
    </w:p>
    <w:p w14:paraId="3905708C" w14:textId="77777777" w:rsidR="009630E5" w:rsidRPr="009630E5" w:rsidRDefault="009630E5" w:rsidP="009630E5">
      <w:pPr>
        <w:numPr>
          <w:ilvl w:val="1"/>
          <w:numId w:val="5"/>
        </w:numPr>
      </w:pPr>
      <w:r w:rsidRPr="009630E5">
        <w:t>Tackles an important public health problem (CVD risk prediction) and emphasizes transparency and trust—key barriers to clinical adoption.</w:t>
      </w:r>
    </w:p>
    <w:p w14:paraId="20BB83C4" w14:textId="77777777" w:rsidR="009630E5" w:rsidRPr="009630E5" w:rsidRDefault="009630E5" w:rsidP="009630E5">
      <w:pPr>
        <w:numPr>
          <w:ilvl w:val="1"/>
          <w:numId w:val="5"/>
        </w:numPr>
      </w:pPr>
      <w:r w:rsidRPr="009630E5">
        <w:t>Population-level screening focus is potentially impactful in resource-constrained settings where nonclinical data can be leveraged.</w:t>
      </w:r>
    </w:p>
    <w:p w14:paraId="54BAAA5A" w14:textId="77777777" w:rsidR="009630E5" w:rsidRPr="009630E5" w:rsidRDefault="009630E5" w:rsidP="009630E5">
      <w:r w:rsidRPr="009630E5">
        <w:lastRenderedPageBreak/>
        <w:t>Weaknesses</w:t>
      </w:r>
    </w:p>
    <w:p w14:paraId="182628B9" w14:textId="77777777" w:rsidR="009630E5" w:rsidRPr="009630E5" w:rsidRDefault="009630E5" w:rsidP="009630E5">
      <w:pPr>
        <w:numPr>
          <w:ilvl w:val="0"/>
          <w:numId w:val="6"/>
        </w:numPr>
      </w:pPr>
      <w:r w:rsidRPr="009630E5">
        <w:t>Technical limitations or concerns</w:t>
      </w:r>
    </w:p>
    <w:p w14:paraId="0AF4F583" w14:textId="77777777" w:rsidR="009630E5" w:rsidRPr="009630E5" w:rsidRDefault="009630E5" w:rsidP="009630E5">
      <w:pPr>
        <w:numPr>
          <w:ilvl w:val="1"/>
          <w:numId w:val="6"/>
        </w:numPr>
      </w:pPr>
      <w:r w:rsidRPr="009630E5">
        <w:t>Unclear and potentially inconsistent use of survey weights in ML training and evaluation (most algorithms require explicit sample-weight handling; details are missing).</w:t>
      </w:r>
    </w:p>
    <w:p w14:paraId="727B4DD2" w14:textId="77777777" w:rsidR="009630E5" w:rsidRPr="009630E5" w:rsidRDefault="009630E5" w:rsidP="009630E5">
      <w:pPr>
        <w:numPr>
          <w:ilvl w:val="1"/>
          <w:numId w:val="6"/>
        </w:numPr>
      </w:pPr>
      <w:r w:rsidRPr="009630E5">
        <w:t>ELI5 is positioned as a “framework,” but it is a library; faithfulness of explanations is not quantitatively assessed, and more standard approaches (e.g., SHAP) are not compared.</w:t>
      </w:r>
    </w:p>
    <w:p w14:paraId="7F656A12" w14:textId="77777777" w:rsidR="009630E5" w:rsidRPr="009630E5" w:rsidRDefault="009630E5" w:rsidP="009630E5">
      <w:pPr>
        <w:numPr>
          <w:ilvl w:val="1"/>
          <w:numId w:val="6"/>
        </w:numPr>
      </w:pPr>
      <w:r w:rsidRPr="009630E5">
        <w:t>Reported performance numbers are inconsistent across sections (e.g., 89.1% vs. ~0.91; all metrics ~0.90 for Neural Networks), and unusually high given task difficulty on BRFSS, raising concerns about class-imbalance handling, thresholding, and calibration.</w:t>
      </w:r>
    </w:p>
    <w:p w14:paraId="70A32D3F" w14:textId="77777777" w:rsidR="009630E5" w:rsidRPr="009630E5" w:rsidRDefault="009630E5" w:rsidP="009630E5">
      <w:pPr>
        <w:numPr>
          <w:ilvl w:val="0"/>
          <w:numId w:val="6"/>
        </w:numPr>
      </w:pPr>
      <w:r w:rsidRPr="009630E5">
        <w:t>Experimental gaps or methodological issues</w:t>
      </w:r>
    </w:p>
    <w:p w14:paraId="3F0BBBB4" w14:textId="77777777" w:rsidR="009630E5" w:rsidRPr="009630E5" w:rsidRDefault="009630E5" w:rsidP="009630E5">
      <w:pPr>
        <w:numPr>
          <w:ilvl w:val="1"/>
          <w:numId w:val="6"/>
        </w:numPr>
      </w:pPr>
      <w:r w:rsidRPr="009630E5">
        <w:t>No external or temporal validation; only a single-year BRFSS cohort with a 70/30 split and no nested cross-validation or rigorous hyperparameter tuning.</w:t>
      </w:r>
    </w:p>
    <w:p w14:paraId="402CBEEF" w14:textId="77777777" w:rsidR="009630E5" w:rsidRPr="009630E5" w:rsidRDefault="009630E5" w:rsidP="009630E5">
      <w:pPr>
        <w:numPr>
          <w:ilvl w:val="1"/>
          <w:numId w:val="6"/>
        </w:numPr>
      </w:pPr>
      <w:r w:rsidRPr="009630E5">
        <w:t>No calibration analysis, confusion matrices, or decision threshold-selection strategy; limited handling/reporting of class imbalance.</w:t>
      </w:r>
    </w:p>
    <w:p w14:paraId="0FA5A8CD" w14:textId="77777777" w:rsidR="009630E5" w:rsidRPr="009630E5" w:rsidRDefault="009630E5" w:rsidP="009630E5">
      <w:pPr>
        <w:numPr>
          <w:ilvl w:val="1"/>
          <w:numId w:val="6"/>
        </w:numPr>
      </w:pPr>
      <w:r w:rsidRPr="009630E5">
        <w:t>No comparisons to established clinical risk scores (Framingham, ASCVD/PCE) or interpretable statistical baselines (logistic regression), limiting clinical interpretability and incremental value assessment.</w:t>
      </w:r>
    </w:p>
    <w:p w14:paraId="61496902" w14:textId="77777777" w:rsidR="009630E5" w:rsidRPr="009630E5" w:rsidRDefault="009630E5" w:rsidP="009630E5">
      <w:pPr>
        <w:numPr>
          <w:ilvl w:val="1"/>
          <w:numId w:val="6"/>
        </w:numPr>
      </w:pPr>
      <w:r w:rsidRPr="009630E5">
        <w:t>Claims of “verification with healthcare professionals” are not substantiated with methodology, sample size, or outcome measures.</w:t>
      </w:r>
    </w:p>
    <w:p w14:paraId="584E55D4" w14:textId="77777777" w:rsidR="009630E5" w:rsidRPr="009630E5" w:rsidRDefault="009630E5" w:rsidP="009630E5">
      <w:pPr>
        <w:numPr>
          <w:ilvl w:val="0"/>
          <w:numId w:val="6"/>
        </w:numPr>
      </w:pPr>
      <w:r w:rsidRPr="009630E5">
        <w:t>Clarity or presentation issues</w:t>
      </w:r>
    </w:p>
    <w:p w14:paraId="503F99A1" w14:textId="77777777" w:rsidR="009630E5" w:rsidRPr="009630E5" w:rsidRDefault="009630E5" w:rsidP="009630E5">
      <w:pPr>
        <w:numPr>
          <w:ilvl w:val="1"/>
          <w:numId w:val="6"/>
        </w:numPr>
      </w:pPr>
      <w:r w:rsidRPr="009630E5">
        <w:t>Some figures are described but not reproducible (textual-only), with qualitative/approximate values and duplicated/erroneous table entries (e.g., SVM row repeated).</w:t>
      </w:r>
    </w:p>
    <w:p w14:paraId="32F599BE" w14:textId="77777777" w:rsidR="009630E5" w:rsidRPr="009630E5" w:rsidRDefault="009630E5" w:rsidP="009630E5">
      <w:pPr>
        <w:numPr>
          <w:ilvl w:val="1"/>
          <w:numId w:val="6"/>
        </w:numPr>
      </w:pPr>
      <w:r w:rsidRPr="009630E5">
        <w:t>Ambiguity remains around feature construction and model-specific hyperparameters/tuning protocols.</w:t>
      </w:r>
    </w:p>
    <w:p w14:paraId="1317E937" w14:textId="77777777" w:rsidR="009630E5" w:rsidRPr="009630E5" w:rsidRDefault="009630E5" w:rsidP="009630E5">
      <w:pPr>
        <w:numPr>
          <w:ilvl w:val="0"/>
          <w:numId w:val="6"/>
        </w:numPr>
      </w:pPr>
      <w:r w:rsidRPr="009630E5">
        <w:t>Missing related work or comparisons</w:t>
      </w:r>
    </w:p>
    <w:p w14:paraId="175A98A2" w14:textId="77777777" w:rsidR="009630E5" w:rsidRPr="009630E5" w:rsidRDefault="009630E5" w:rsidP="009630E5">
      <w:pPr>
        <w:numPr>
          <w:ilvl w:val="1"/>
          <w:numId w:val="6"/>
        </w:numPr>
      </w:pPr>
      <w:r w:rsidRPr="009630E5">
        <w:lastRenderedPageBreak/>
        <w:t>Limited engagement with recent BRFSS-based and clinically grounded works that include rigorous evaluation, calibration, and interpretability (e.g., weighted ensembles with SHAP, external validation studies, and modern risk-prediction baselines).</w:t>
      </w:r>
    </w:p>
    <w:p w14:paraId="099E346E" w14:textId="77777777" w:rsidR="009630E5" w:rsidRPr="009630E5" w:rsidRDefault="009630E5" w:rsidP="009630E5">
      <w:pPr>
        <w:numPr>
          <w:ilvl w:val="1"/>
          <w:numId w:val="6"/>
        </w:numPr>
      </w:pPr>
      <w:r w:rsidRPr="009630E5">
        <w:t>No discussion of fairness audits or subgroup performance, despite the survey context and demographic variables.</w:t>
      </w:r>
    </w:p>
    <w:p w14:paraId="154E0E92" w14:textId="77777777" w:rsidR="009630E5" w:rsidRPr="009630E5" w:rsidRDefault="009630E5" w:rsidP="009630E5">
      <w:r w:rsidRPr="009630E5">
        <w:t>Detailed Comments</w:t>
      </w:r>
    </w:p>
    <w:p w14:paraId="6E91A9C3" w14:textId="77777777" w:rsidR="009630E5" w:rsidRPr="009630E5" w:rsidRDefault="009630E5" w:rsidP="009630E5">
      <w:pPr>
        <w:numPr>
          <w:ilvl w:val="0"/>
          <w:numId w:val="7"/>
        </w:numPr>
      </w:pPr>
      <w:r w:rsidRPr="009630E5">
        <w:t>Technical soundness evaluation</w:t>
      </w:r>
    </w:p>
    <w:p w14:paraId="652A9CEB" w14:textId="77777777" w:rsidR="009630E5" w:rsidRPr="009630E5" w:rsidRDefault="009630E5" w:rsidP="009630E5">
      <w:pPr>
        <w:numPr>
          <w:ilvl w:val="1"/>
          <w:numId w:val="7"/>
        </w:numPr>
      </w:pPr>
      <w:r w:rsidRPr="009630E5">
        <w:t>The methodology’s handling of complex survey design is commendable in principle, but it is unclear how (or whether) sample weights were used in training loss functions and in evaluation (weighted AUC/recall). Without explicit implementation details, claims of “weighted analysis” are difficult to verify.</w:t>
      </w:r>
    </w:p>
    <w:p w14:paraId="2ED2BF9C" w14:textId="77777777" w:rsidR="009630E5" w:rsidRPr="009630E5" w:rsidRDefault="009630E5" w:rsidP="009630E5">
      <w:pPr>
        <w:numPr>
          <w:ilvl w:val="1"/>
          <w:numId w:val="7"/>
        </w:numPr>
      </w:pPr>
      <w:r w:rsidRPr="009630E5">
        <w:t xml:space="preserve">The reported high and tightly clustered metrics across all models suggest potential methodological issues: insufficient cross-validation, lack of rigorous hyperparameter optimization, or use of accuracy without appropriate thresholding in an imbalanced setting. Calibration and decision-threshold </w:t>
      </w:r>
      <w:proofErr w:type="gramStart"/>
      <w:r w:rsidRPr="009630E5">
        <w:t>selection</w:t>
      </w:r>
      <w:proofErr w:type="gramEnd"/>
      <w:r w:rsidRPr="009630E5">
        <w:t xml:space="preserve"> are essential for clinical decision support but are not presented.</w:t>
      </w:r>
    </w:p>
    <w:p w14:paraId="660D8E26" w14:textId="77777777" w:rsidR="009630E5" w:rsidRPr="009630E5" w:rsidRDefault="009630E5" w:rsidP="009630E5">
      <w:pPr>
        <w:numPr>
          <w:ilvl w:val="1"/>
          <w:numId w:val="7"/>
        </w:numPr>
      </w:pPr>
      <w:r w:rsidRPr="009630E5">
        <w:t>ELI5 explanations are provided, but explanation faithfulness and stability are not systematically evaluated. For complex ensembles, SHAP is the prevailing standard; comparison would strengthen the claims.</w:t>
      </w:r>
    </w:p>
    <w:p w14:paraId="311336C6" w14:textId="77777777" w:rsidR="009630E5" w:rsidRPr="009630E5" w:rsidRDefault="009630E5" w:rsidP="009630E5">
      <w:pPr>
        <w:numPr>
          <w:ilvl w:val="0"/>
          <w:numId w:val="7"/>
        </w:numPr>
      </w:pPr>
      <w:r w:rsidRPr="009630E5">
        <w:t>Experimental evaluation assessment</w:t>
      </w:r>
    </w:p>
    <w:p w14:paraId="49292425" w14:textId="77777777" w:rsidR="009630E5" w:rsidRPr="009630E5" w:rsidRDefault="009630E5" w:rsidP="009630E5">
      <w:pPr>
        <w:numPr>
          <w:ilvl w:val="1"/>
          <w:numId w:val="7"/>
        </w:numPr>
      </w:pPr>
      <w:r w:rsidRPr="009630E5">
        <w:t>The reliance on a single 70/30 stratified split without nested CV, external validation (e.g., other BRFSS years, NHANES), or temporal testing undercuts generalizability claims. The paper acknowledges this but still makes strong statements about feasibility and clinical usefulness.</w:t>
      </w:r>
    </w:p>
    <w:p w14:paraId="4A5C6D97" w14:textId="77777777" w:rsidR="009630E5" w:rsidRPr="009630E5" w:rsidRDefault="009630E5" w:rsidP="009630E5">
      <w:pPr>
        <w:numPr>
          <w:ilvl w:val="1"/>
          <w:numId w:val="7"/>
        </w:numPr>
      </w:pPr>
      <w:r w:rsidRPr="009630E5">
        <w:t>Missing key diagnostics: calibration plots (reliability curves, ECE/Brier), confusion matrices, per-threshold sensitivity/specificity, and prevalence-aware threshold selection. The absence of these makes it hard to assess clinical utility and risk trade-offs.</w:t>
      </w:r>
    </w:p>
    <w:p w14:paraId="56E52500" w14:textId="77777777" w:rsidR="009630E5" w:rsidRPr="009630E5" w:rsidRDefault="009630E5" w:rsidP="009630E5">
      <w:pPr>
        <w:numPr>
          <w:ilvl w:val="1"/>
          <w:numId w:val="7"/>
        </w:numPr>
      </w:pPr>
      <w:r w:rsidRPr="009630E5">
        <w:t xml:space="preserve">Class-imbalance strategy is not fully described (class weights? resampling? threshold tuning?), which is critical in BRFSS heart disease tasks. Related </w:t>
      </w:r>
      <w:r w:rsidRPr="009630E5">
        <w:lastRenderedPageBreak/>
        <w:t>work indicates that naive accuracy can be misleading if recall/PPV are not balanced.</w:t>
      </w:r>
    </w:p>
    <w:p w14:paraId="2FC96777" w14:textId="77777777" w:rsidR="009630E5" w:rsidRPr="009630E5" w:rsidRDefault="009630E5" w:rsidP="009630E5">
      <w:pPr>
        <w:numPr>
          <w:ilvl w:val="0"/>
          <w:numId w:val="7"/>
        </w:numPr>
      </w:pPr>
      <w:r w:rsidRPr="009630E5">
        <w:t>Comparison with related work (using the summaries provided)</w:t>
      </w:r>
    </w:p>
    <w:p w14:paraId="5C92FA60" w14:textId="77777777" w:rsidR="009630E5" w:rsidRPr="009630E5" w:rsidRDefault="009630E5" w:rsidP="009630E5">
      <w:pPr>
        <w:numPr>
          <w:ilvl w:val="1"/>
          <w:numId w:val="7"/>
        </w:numPr>
      </w:pPr>
      <w:r w:rsidRPr="009630E5">
        <w:t>Compared with 2511.01947 (BRFSS-based weighted ensemble with SHAP and statistical testing), this paper lacks cross-validation, significance testing, and interpretability depth; reported AUCs in that work are around 0.83–0.84, which is more consistent with known difficulty—raising skepticism about the ~0.90 values reported here.</w:t>
      </w:r>
    </w:p>
    <w:p w14:paraId="0D9C0CEB" w14:textId="77777777" w:rsidR="009630E5" w:rsidRPr="009630E5" w:rsidRDefault="009630E5" w:rsidP="009630E5">
      <w:pPr>
        <w:numPr>
          <w:ilvl w:val="1"/>
          <w:numId w:val="7"/>
        </w:numPr>
      </w:pPr>
      <w:r w:rsidRPr="009630E5">
        <w:t>Compared with 2505.24655 (</w:t>
      </w:r>
      <w:proofErr w:type="spellStart"/>
      <w:r w:rsidRPr="009630E5">
        <w:t>AdaCVD</w:t>
      </w:r>
      <w:proofErr w:type="spellEnd"/>
      <w:r w:rsidRPr="009630E5">
        <w:t>, robust and adaptive to heterogeneous inputs with external adaptation), the present work is methodologically simpler and less validated, with no attempt at flexible inputs or robust performance under shift.</w:t>
      </w:r>
    </w:p>
    <w:p w14:paraId="36A85742" w14:textId="77777777" w:rsidR="009630E5" w:rsidRPr="009630E5" w:rsidRDefault="009630E5" w:rsidP="009630E5">
      <w:pPr>
        <w:numPr>
          <w:ilvl w:val="1"/>
          <w:numId w:val="7"/>
        </w:numPr>
      </w:pPr>
      <w:r w:rsidRPr="009630E5">
        <w:t>Compared with 2402.15005 (cutoff selection and interpretability), this paper does not offer a principled thresholding strategy, a key practical need for deployment in imbalanced settings.</w:t>
      </w:r>
    </w:p>
    <w:p w14:paraId="7328482E" w14:textId="77777777" w:rsidR="009630E5" w:rsidRPr="009630E5" w:rsidRDefault="009630E5" w:rsidP="009630E5">
      <w:pPr>
        <w:numPr>
          <w:ilvl w:val="1"/>
          <w:numId w:val="7"/>
        </w:numPr>
      </w:pPr>
      <w:r w:rsidRPr="009630E5">
        <w:t>Compared with 2401.17328 and 2507.21898, the paper’s use of nonclinical BRFSS is aligned with population screening, but the lack of calibration and rigorous benchmarking against logistic regression or clinical scores limits interpretability and clinical relevance.</w:t>
      </w:r>
    </w:p>
    <w:p w14:paraId="6B65F84E" w14:textId="77777777" w:rsidR="009630E5" w:rsidRPr="009630E5" w:rsidRDefault="009630E5" w:rsidP="009630E5">
      <w:pPr>
        <w:numPr>
          <w:ilvl w:val="0"/>
          <w:numId w:val="7"/>
        </w:numPr>
      </w:pPr>
      <w:r w:rsidRPr="009630E5">
        <w:t>Discussion of broader impact and significance</w:t>
      </w:r>
    </w:p>
    <w:p w14:paraId="41F3C23F" w14:textId="77777777" w:rsidR="009630E5" w:rsidRPr="009630E5" w:rsidRDefault="009630E5" w:rsidP="009630E5">
      <w:pPr>
        <w:numPr>
          <w:ilvl w:val="1"/>
          <w:numId w:val="7"/>
        </w:numPr>
      </w:pPr>
      <w:r w:rsidRPr="009630E5">
        <w:t>The decision-support framing and transparency emphasis are aligned with trustworthy AI principles, and the potential to scale low-cost screening is valuable.</w:t>
      </w:r>
    </w:p>
    <w:p w14:paraId="3F6FB2BE" w14:textId="77777777" w:rsidR="009630E5" w:rsidRPr="009630E5" w:rsidRDefault="009630E5" w:rsidP="009630E5">
      <w:pPr>
        <w:numPr>
          <w:ilvl w:val="1"/>
          <w:numId w:val="7"/>
        </w:numPr>
      </w:pPr>
      <w:r w:rsidRPr="009630E5">
        <w:t>However, claims around cost/time reduction and clinician workflow benefits remain speculative without prospective studies or health-economic analysis. Fairness and subgroup performance (sex, race/ethnicity, age) are unassessed, a critical gap for population-level tools.</w:t>
      </w:r>
    </w:p>
    <w:p w14:paraId="3B290448" w14:textId="77777777" w:rsidR="009630E5" w:rsidRPr="009630E5" w:rsidRDefault="009630E5" w:rsidP="009630E5">
      <w:pPr>
        <w:numPr>
          <w:ilvl w:val="1"/>
          <w:numId w:val="7"/>
        </w:numPr>
      </w:pPr>
      <w:r w:rsidRPr="009630E5">
        <w:t>Without external validation and calibration, deployment risks include over- or under-triage and erosion of trust.</w:t>
      </w:r>
    </w:p>
    <w:p w14:paraId="2F960F28" w14:textId="77777777" w:rsidR="009630E5" w:rsidRPr="009630E5" w:rsidRDefault="009630E5" w:rsidP="009630E5">
      <w:r w:rsidRPr="009630E5">
        <w:t>Questions for Authors</w:t>
      </w:r>
    </w:p>
    <w:p w14:paraId="2AD03292" w14:textId="77777777" w:rsidR="009630E5" w:rsidRPr="009630E5" w:rsidRDefault="009630E5" w:rsidP="009630E5">
      <w:pPr>
        <w:numPr>
          <w:ilvl w:val="0"/>
          <w:numId w:val="8"/>
        </w:numPr>
      </w:pPr>
      <w:r w:rsidRPr="009630E5">
        <w:t>How exactly were survey weights incorporated into model training and evaluation for each algorithm (e.g., sample-weighted loss, weighted AUC)? Please provide implementation details and weighted vs. unweighted performance.</w:t>
      </w:r>
    </w:p>
    <w:p w14:paraId="1030D7FE" w14:textId="77777777" w:rsidR="009630E5" w:rsidRPr="009630E5" w:rsidRDefault="009630E5" w:rsidP="009630E5">
      <w:pPr>
        <w:numPr>
          <w:ilvl w:val="0"/>
          <w:numId w:val="8"/>
        </w:numPr>
      </w:pPr>
      <w:r w:rsidRPr="009630E5">
        <w:lastRenderedPageBreak/>
        <w:t>What is the class prevalence of _MICHD in your cohort, and how did you handle class imbalance (class weights, resampling, threshold tuning)? Please include confusion matrices, ROC/PR curves, calibration plots, and chosen decision thresholds.</w:t>
      </w:r>
    </w:p>
    <w:p w14:paraId="3CDAF3A8" w14:textId="77777777" w:rsidR="009630E5" w:rsidRPr="009630E5" w:rsidRDefault="009630E5" w:rsidP="009630E5">
      <w:pPr>
        <w:numPr>
          <w:ilvl w:val="0"/>
          <w:numId w:val="8"/>
        </w:numPr>
      </w:pPr>
      <w:r w:rsidRPr="009630E5">
        <w:t>What hyperparameter tuning procedures did you use (per model)? If nested cross-validation was not feasible, how did you mitigate overfitting and selection bias?</w:t>
      </w:r>
    </w:p>
    <w:p w14:paraId="36C23957" w14:textId="77777777" w:rsidR="009630E5" w:rsidRPr="009630E5" w:rsidRDefault="009630E5" w:rsidP="009630E5">
      <w:pPr>
        <w:numPr>
          <w:ilvl w:val="0"/>
          <w:numId w:val="8"/>
        </w:numPr>
      </w:pPr>
      <w:r w:rsidRPr="009630E5">
        <w:t>Please reconcile the inconsistent performance numbers (e.g., 89.1% vs. ~0.91, and uniformly high metrics across models) and report numeric AUC/recall with confidence intervals.</w:t>
      </w:r>
    </w:p>
    <w:p w14:paraId="541E991E" w14:textId="77777777" w:rsidR="009630E5" w:rsidRPr="009630E5" w:rsidRDefault="009630E5" w:rsidP="009630E5">
      <w:pPr>
        <w:numPr>
          <w:ilvl w:val="0"/>
          <w:numId w:val="8"/>
        </w:numPr>
      </w:pPr>
      <w:r w:rsidRPr="009630E5">
        <w:t>Can you provide a rigorous comparison to logistic regression, calibrated probabilities, and established risk scores (Framingham, ASCVD/PCE), including statistical testing for differences?</w:t>
      </w:r>
    </w:p>
    <w:p w14:paraId="34E4FDEC" w14:textId="77777777" w:rsidR="009630E5" w:rsidRPr="009630E5" w:rsidRDefault="009630E5" w:rsidP="009630E5">
      <w:pPr>
        <w:numPr>
          <w:ilvl w:val="0"/>
          <w:numId w:val="8"/>
        </w:numPr>
      </w:pPr>
      <w:r w:rsidRPr="009630E5">
        <w:t>How was “verification with healthcare professionals” conducted? Please specify participant roles, sample size, protocol, and measurable outcomes (trust, usability, correctness of explanations).</w:t>
      </w:r>
    </w:p>
    <w:p w14:paraId="4FEE2166" w14:textId="77777777" w:rsidR="009630E5" w:rsidRPr="009630E5" w:rsidRDefault="009630E5" w:rsidP="009630E5">
      <w:pPr>
        <w:numPr>
          <w:ilvl w:val="0"/>
          <w:numId w:val="8"/>
        </w:numPr>
      </w:pPr>
      <w:r w:rsidRPr="009630E5">
        <w:t>Why was ELI5 chosen over SHAP for ensemble explanations, and how did you evaluate explanation faithfulness and stability across instances and subgroups?</w:t>
      </w:r>
    </w:p>
    <w:p w14:paraId="7D8417A6" w14:textId="77777777" w:rsidR="009630E5" w:rsidRPr="009630E5" w:rsidRDefault="009630E5" w:rsidP="009630E5">
      <w:pPr>
        <w:numPr>
          <w:ilvl w:val="0"/>
          <w:numId w:val="8"/>
        </w:numPr>
      </w:pPr>
      <w:r w:rsidRPr="009630E5">
        <w:t>Do you have subgroup performance/fairness analyses (sex, race/ethnicity, age)? If not, can you comment on potential biases and plans for fairness-aware modeling?</w:t>
      </w:r>
    </w:p>
    <w:p w14:paraId="4F8C3417" w14:textId="77777777" w:rsidR="009630E5" w:rsidRPr="009630E5" w:rsidRDefault="009630E5" w:rsidP="009630E5">
      <w:r w:rsidRPr="009630E5">
        <w:t>Overall Assessment</w:t>
      </w:r>
    </w:p>
    <w:p w14:paraId="36D614F7" w14:textId="02F768E0" w:rsidR="006F2E9C" w:rsidRPr="009630E5" w:rsidRDefault="009630E5" w:rsidP="009630E5">
      <w:r w:rsidRPr="009630E5">
        <w:t xml:space="preserve">The paper addresses an important problem—population-level cardiovascular risk prediction using accessible, nonclinical data—and commendably emphasizes explainability and trust. The use of BRFSS and discussion of survey weighting are appropriate for the intended screening context. However, the technical and experimental rigor fall short of AAAI standards: the treatment of survey weights in ML is not clearly operationalized; validation relies on a single hold-out split without nested CV or external cohorts; there is no calibration analysis, no thresholding strategy, and no comparison to clinical risk scores or logistic regression baselines. Reported metrics are internally inconsistent and unusually high relative to prior BRFSS-based studies, raising concerns about evaluation methodology and reproducibility. The interpretability component relies on ELI5 without faithfulness validation or comparison to stronger methods like SHAP. Overall, while the problem is important and the framing is thoughtful, the work is incremental and methodologically underdeveloped for a top-tier venue. I recommend rejection in its current form, with encouragement to strengthen methodology (rigorous weighting, calibration, </w:t>
      </w:r>
      <w:r w:rsidRPr="009630E5">
        <w:lastRenderedPageBreak/>
        <w:t>hyperparameter tuning, fairness and external validation), provide reproducible results and code, and benchmark against clinical baselines.</w:t>
      </w:r>
    </w:p>
    <w:sectPr w:rsidR="006F2E9C" w:rsidRPr="009630E5">
      <w:headerReference w:type="even" r:id="rId7"/>
      <w:headerReference w:type="default" r:id="rId8"/>
      <w:head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663D28" w14:textId="77777777" w:rsidR="00BC14AF" w:rsidRDefault="00BC14AF" w:rsidP="00CF6D9E">
      <w:pPr>
        <w:spacing w:after="0" w:line="240" w:lineRule="auto"/>
      </w:pPr>
      <w:r>
        <w:separator/>
      </w:r>
    </w:p>
  </w:endnote>
  <w:endnote w:type="continuationSeparator" w:id="0">
    <w:p w14:paraId="0392D8EA" w14:textId="77777777" w:rsidR="00BC14AF" w:rsidRDefault="00BC14AF" w:rsidP="00CF6D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1"/>
    <w:family w:val="auto"/>
    <w:pitch w:val="variable"/>
    <w:sig w:usb0="00008000" w:usb1="00000000" w:usb2="00000000" w:usb3="00000000" w:csb0="00000000"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B8BB9F" w14:textId="77777777" w:rsidR="00BC14AF" w:rsidRDefault="00BC14AF" w:rsidP="00CF6D9E">
      <w:pPr>
        <w:spacing w:after="0" w:line="240" w:lineRule="auto"/>
      </w:pPr>
      <w:r>
        <w:separator/>
      </w:r>
    </w:p>
  </w:footnote>
  <w:footnote w:type="continuationSeparator" w:id="0">
    <w:p w14:paraId="7B144D1B" w14:textId="77777777" w:rsidR="00BC14AF" w:rsidRDefault="00BC14AF" w:rsidP="00CF6D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CFCCD" w14:textId="46063AFA" w:rsidR="00CF6D9E" w:rsidRDefault="00CF6D9E">
    <w:pPr>
      <w:pStyle w:val="Header"/>
    </w:pPr>
    <w:r>
      <w:rPr>
        <w:noProof/>
      </w:rPr>
      <mc:AlternateContent>
        <mc:Choice Requires="wps">
          <w:drawing>
            <wp:anchor distT="0" distB="0" distL="0" distR="0" simplePos="0" relativeHeight="251659264" behindDoc="0" locked="0" layoutInCell="1" allowOverlap="1" wp14:anchorId="7811510C" wp14:editId="6B0478EE">
              <wp:simplePos x="635" y="635"/>
              <wp:positionH relativeFrom="page">
                <wp:align>left</wp:align>
              </wp:positionH>
              <wp:positionV relativeFrom="page">
                <wp:align>top</wp:align>
              </wp:positionV>
              <wp:extent cx="1581150" cy="332740"/>
              <wp:effectExtent l="0" t="0" r="0" b="10160"/>
              <wp:wrapNone/>
              <wp:docPr id="1180946084" name="Text Box 2" descr="               C2 - Restricted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581150" cy="332740"/>
                      </a:xfrm>
                      <a:prstGeom prst="rect">
                        <a:avLst/>
                      </a:prstGeom>
                      <a:noFill/>
                      <a:ln>
                        <a:noFill/>
                      </a:ln>
                    </wps:spPr>
                    <wps:txbx>
                      <w:txbxContent>
                        <w:p w14:paraId="79D8711E" w14:textId="7F788FD8" w:rsidR="00CF6D9E" w:rsidRPr="00CF6D9E" w:rsidRDefault="00CF6D9E" w:rsidP="00CF6D9E">
                          <w:pPr>
                            <w:spacing w:after="0"/>
                            <w:rPr>
                              <w:rFonts w:ascii="Tahoma" w:eastAsia="Tahoma" w:hAnsi="Tahoma" w:cs="Tahoma"/>
                              <w:noProof/>
                              <w:color w:val="CF022B"/>
                              <w:sz w:val="16"/>
                              <w:szCs w:val="16"/>
                            </w:rPr>
                          </w:pPr>
                          <w:r w:rsidRPr="00CF6D9E">
                            <w:rPr>
                              <w:rFonts w:ascii="Tahoma" w:eastAsia="Tahoma" w:hAnsi="Tahoma" w:cs="Tahoma"/>
                              <w:noProof/>
                              <w:color w:val="CF022B"/>
                              <w:sz w:val="16"/>
                              <w:szCs w:val="16"/>
                            </w:rPr>
                            <w:t xml:space="preserve">               C2 - Restricted use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811510C" id="_x0000_t202" coordsize="21600,21600" o:spt="202" path="m,l,21600r21600,l21600,xe">
              <v:stroke joinstyle="miter"/>
              <v:path gradientshapeok="t" o:connecttype="rect"/>
            </v:shapetype>
            <v:shape id="Text Box 2" o:spid="_x0000_s1026" type="#_x0000_t202" alt="               C2 - Restricted use" style="position:absolute;margin-left:0;margin-top:0;width:124.5pt;height:26.2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" filled="f" stroked="f">
              <v:textbox style="mso-fit-shape-to-text:t" inset="20pt,15pt,0,0">
                <w:txbxContent>
                  <w:p w14:paraId="79D8711E" w14:textId="7F788FD8" w:rsidR="00CF6D9E" w:rsidRPr="00CF6D9E" w:rsidRDefault="00CF6D9E" w:rsidP="00CF6D9E">
                    <w:pPr>
                      <w:spacing w:after="0"/>
                      <w:rPr>
                        <w:rFonts w:ascii="Tahoma" w:eastAsia="Tahoma" w:hAnsi="Tahoma" w:cs="Tahoma"/>
                        <w:noProof/>
                        <w:color w:val="CF022B"/>
                        <w:sz w:val="16"/>
                        <w:szCs w:val="16"/>
                      </w:rPr>
                    </w:pPr>
                    <w:r w:rsidRPr="00CF6D9E">
                      <w:rPr>
                        <w:rFonts w:ascii="Tahoma" w:eastAsia="Tahoma" w:hAnsi="Tahoma" w:cs="Tahoma"/>
                        <w:noProof/>
                        <w:color w:val="CF022B"/>
                        <w:sz w:val="16"/>
                        <w:szCs w:val="16"/>
                      </w:rPr>
                      <w:t xml:space="preserve">               C2 - Restricted use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2D1B5" w14:textId="0EF0F3AE" w:rsidR="00CF6D9E" w:rsidRDefault="00CF6D9E">
    <w:pPr>
      <w:pStyle w:val="Header"/>
    </w:pPr>
    <w:r>
      <w:rPr>
        <w:noProof/>
      </w:rPr>
      <mc:AlternateContent>
        <mc:Choice Requires="wps">
          <w:drawing>
            <wp:anchor distT="0" distB="0" distL="0" distR="0" simplePos="0" relativeHeight="251660288" behindDoc="0" locked="0" layoutInCell="1" allowOverlap="1" wp14:anchorId="4CC11002" wp14:editId="4787BF37">
              <wp:simplePos x="914400" y="459905"/>
              <wp:positionH relativeFrom="page">
                <wp:align>left</wp:align>
              </wp:positionH>
              <wp:positionV relativeFrom="page">
                <wp:align>top</wp:align>
              </wp:positionV>
              <wp:extent cx="1581150" cy="332740"/>
              <wp:effectExtent l="0" t="0" r="0" b="10160"/>
              <wp:wrapNone/>
              <wp:docPr id="1063399652" name="Text Box 3" descr="               C2 - Restricted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581150" cy="332740"/>
                      </a:xfrm>
                      <a:prstGeom prst="rect">
                        <a:avLst/>
                      </a:prstGeom>
                      <a:noFill/>
                      <a:ln>
                        <a:noFill/>
                      </a:ln>
                    </wps:spPr>
                    <wps:txbx>
                      <w:txbxContent>
                        <w:p w14:paraId="16F1B654" w14:textId="51EC5FD3" w:rsidR="00CF6D9E" w:rsidRPr="00CF6D9E" w:rsidRDefault="00CF6D9E" w:rsidP="00CF6D9E">
                          <w:pPr>
                            <w:spacing w:after="0"/>
                            <w:rPr>
                              <w:rFonts w:ascii="Tahoma" w:eastAsia="Tahoma" w:hAnsi="Tahoma" w:cs="Tahoma"/>
                              <w:noProof/>
                              <w:color w:val="CF022B"/>
                              <w:sz w:val="16"/>
                              <w:szCs w:val="16"/>
                            </w:rPr>
                          </w:pPr>
                          <w:r w:rsidRPr="00CF6D9E">
                            <w:rPr>
                              <w:rFonts w:ascii="Tahoma" w:eastAsia="Tahoma" w:hAnsi="Tahoma" w:cs="Tahoma"/>
                              <w:noProof/>
                              <w:color w:val="CF022B"/>
                              <w:sz w:val="16"/>
                              <w:szCs w:val="16"/>
                            </w:rPr>
                            <w:t xml:space="preserve">               C2 - Restricted use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CC11002" id="_x0000_t202" coordsize="21600,21600" o:spt="202" path="m,l,21600r21600,l21600,xe">
              <v:stroke joinstyle="miter"/>
              <v:path gradientshapeok="t" o:connecttype="rect"/>
            </v:shapetype>
            <v:shape id="Text Box 3" o:spid="_x0000_s1027" type="#_x0000_t202" alt="               C2 - Restricted use" style="position:absolute;margin-left:0;margin-top:0;width:124.5pt;height:26.2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" filled="f" stroked="f">
              <v:textbox style="mso-fit-shape-to-text:t" inset="20pt,15pt,0,0">
                <w:txbxContent>
                  <w:p w14:paraId="16F1B654" w14:textId="51EC5FD3" w:rsidR="00CF6D9E" w:rsidRPr="00CF6D9E" w:rsidRDefault="00CF6D9E" w:rsidP="00CF6D9E">
                    <w:pPr>
                      <w:spacing w:after="0"/>
                      <w:rPr>
                        <w:rFonts w:ascii="Tahoma" w:eastAsia="Tahoma" w:hAnsi="Tahoma" w:cs="Tahoma"/>
                        <w:noProof/>
                        <w:color w:val="CF022B"/>
                        <w:sz w:val="16"/>
                        <w:szCs w:val="16"/>
                      </w:rPr>
                    </w:pPr>
                    <w:r w:rsidRPr="00CF6D9E">
                      <w:rPr>
                        <w:rFonts w:ascii="Tahoma" w:eastAsia="Tahoma" w:hAnsi="Tahoma" w:cs="Tahoma"/>
                        <w:noProof/>
                        <w:color w:val="CF022B"/>
                        <w:sz w:val="16"/>
                        <w:szCs w:val="16"/>
                      </w:rPr>
                      <w:t xml:space="preserve">               C2 - Restricted use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61FB1" w14:textId="73FDCB5A" w:rsidR="00CF6D9E" w:rsidRDefault="00CF6D9E">
    <w:pPr>
      <w:pStyle w:val="Header"/>
    </w:pPr>
    <w:r>
      <w:rPr>
        <w:noProof/>
      </w:rPr>
      <mc:AlternateContent>
        <mc:Choice Requires="wps">
          <w:drawing>
            <wp:anchor distT="0" distB="0" distL="0" distR="0" simplePos="0" relativeHeight="251658240" behindDoc="0" locked="0" layoutInCell="1" allowOverlap="1" wp14:anchorId="6A6F3A06" wp14:editId="76591C67">
              <wp:simplePos x="635" y="635"/>
              <wp:positionH relativeFrom="page">
                <wp:align>left</wp:align>
              </wp:positionH>
              <wp:positionV relativeFrom="page">
                <wp:align>top</wp:align>
              </wp:positionV>
              <wp:extent cx="1581150" cy="332740"/>
              <wp:effectExtent l="0" t="0" r="0" b="10160"/>
              <wp:wrapNone/>
              <wp:docPr id="1902825928" name="Text Box 1" descr="               C2 - Restricted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581150" cy="332740"/>
                      </a:xfrm>
                      <a:prstGeom prst="rect">
                        <a:avLst/>
                      </a:prstGeom>
                      <a:noFill/>
                      <a:ln>
                        <a:noFill/>
                      </a:ln>
                    </wps:spPr>
                    <wps:txbx>
                      <w:txbxContent>
                        <w:p w14:paraId="01D015CF" w14:textId="26E157BB" w:rsidR="00CF6D9E" w:rsidRPr="00CF6D9E" w:rsidRDefault="00CF6D9E" w:rsidP="00CF6D9E">
                          <w:pPr>
                            <w:spacing w:after="0"/>
                            <w:rPr>
                              <w:rFonts w:ascii="Tahoma" w:eastAsia="Tahoma" w:hAnsi="Tahoma" w:cs="Tahoma"/>
                              <w:noProof/>
                              <w:color w:val="CF022B"/>
                              <w:sz w:val="16"/>
                              <w:szCs w:val="16"/>
                            </w:rPr>
                          </w:pPr>
                          <w:r w:rsidRPr="00CF6D9E">
                            <w:rPr>
                              <w:rFonts w:ascii="Tahoma" w:eastAsia="Tahoma" w:hAnsi="Tahoma" w:cs="Tahoma"/>
                              <w:noProof/>
                              <w:color w:val="CF022B"/>
                              <w:sz w:val="16"/>
                              <w:szCs w:val="16"/>
                            </w:rPr>
                            <w:t xml:space="preserve">               C2 - Restricted use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A6F3A06" id="_x0000_t202" coordsize="21600,21600" o:spt="202" path="m,l,21600r21600,l21600,xe">
              <v:stroke joinstyle="miter"/>
              <v:path gradientshapeok="t" o:connecttype="rect"/>
            </v:shapetype>
            <v:shape id="Text Box 1" o:spid="_x0000_s1028" type="#_x0000_t202" alt="               C2 - Restricted use" style="position:absolute;margin-left:0;margin-top:0;width:124.5pt;height:26.2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" filled="f" stroked="f">
              <v:textbox style="mso-fit-shape-to-text:t" inset="20pt,15pt,0,0">
                <w:txbxContent>
                  <w:p w14:paraId="01D015CF" w14:textId="26E157BB" w:rsidR="00CF6D9E" w:rsidRPr="00CF6D9E" w:rsidRDefault="00CF6D9E" w:rsidP="00CF6D9E">
                    <w:pPr>
                      <w:spacing w:after="0"/>
                      <w:rPr>
                        <w:rFonts w:ascii="Tahoma" w:eastAsia="Tahoma" w:hAnsi="Tahoma" w:cs="Tahoma"/>
                        <w:noProof/>
                        <w:color w:val="CF022B"/>
                        <w:sz w:val="16"/>
                        <w:szCs w:val="16"/>
                      </w:rPr>
                    </w:pPr>
                    <w:r w:rsidRPr="00CF6D9E">
                      <w:rPr>
                        <w:rFonts w:ascii="Tahoma" w:eastAsia="Tahoma" w:hAnsi="Tahoma" w:cs="Tahoma"/>
                        <w:noProof/>
                        <w:color w:val="CF022B"/>
                        <w:sz w:val="16"/>
                        <w:szCs w:val="16"/>
                      </w:rPr>
                      <w:t xml:space="preserve">               C2 - Restricted use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41661"/>
    <w:multiLevelType w:val="multilevel"/>
    <w:tmpl w:val="7DCED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B667E1"/>
    <w:multiLevelType w:val="multilevel"/>
    <w:tmpl w:val="F9FE1E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955FB7"/>
    <w:multiLevelType w:val="multilevel"/>
    <w:tmpl w:val="6414B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E01E57"/>
    <w:multiLevelType w:val="multilevel"/>
    <w:tmpl w:val="5F4EA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5BF7C25"/>
    <w:multiLevelType w:val="multilevel"/>
    <w:tmpl w:val="C09E1F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E85CF8"/>
    <w:multiLevelType w:val="multilevel"/>
    <w:tmpl w:val="B2B2DD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B019CC"/>
    <w:multiLevelType w:val="multilevel"/>
    <w:tmpl w:val="A78AC5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E47E73"/>
    <w:multiLevelType w:val="multilevel"/>
    <w:tmpl w:val="B9801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6499164">
    <w:abstractNumId w:val="0"/>
  </w:num>
  <w:num w:numId="2" w16cid:durableId="1025792697">
    <w:abstractNumId w:val="7"/>
  </w:num>
  <w:num w:numId="3" w16cid:durableId="818423841">
    <w:abstractNumId w:val="4"/>
  </w:num>
  <w:num w:numId="4" w16cid:durableId="277218599">
    <w:abstractNumId w:val="2"/>
  </w:num>
  <w:num w:numId="5" w16cid:durableId="1761487089">
    <w:abstractNumId w:val="1"/>
  </w:num>
  <w:num w:numId="6" w16cid:durableId="822895628">
    <w:abstractNumId w:val="5"/>
  </w:num>
  <w:num w:numId="7" w16cid:durableId="419109720">
    <w:abstractNumId w:val="6"/>
  </w:num>
  <w:num w:numId="8" w16cid:durableId="11765325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D9E"/>
    <w:rsid w:val="004E34D2"/>
    <w:rsid w:val="00651213"/>
    <w:rsid w:val="006F2E9C"/>
    <w:rsid w:val="009630E5"/>
    <w:rsid w:val="00BC14AF"/>
    <w:rsid w:val="00BF65AE"/>
    <w:rsid w:val="00C04B5B"/>
    <w:rsid w:val="00C859A7"/>
    <w:rsid w:val="00CF6D9E"/>
    <w:rsid w:val="00F95576"/>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5A0D6"/>
  <w15:chartTrackingRefBased/>
  <w15:docId w15:val="{470D4EEC-80A2-4D6D-863F-E85B61794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6D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6D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6D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6D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6D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6D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6D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6D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6D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6D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6D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6D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6D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6D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6D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6D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6D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6D9E"/>
    <w:rPr>
      <w:rFonts w:eastAsiaTheme="majorEastAsia" w:cstheme="majorBidi"/>
      <w:color w:val="272727" w:themeColor="text1" w:themeTint="D8"/>
    </w:rPr>
  </w:style>
  <w:style w:type="paragraph" w:styleId="Title">
    <w:name w:val="Title"/>
    <w:basedOn w:val="Normal"/>
    <w:next w:val="Normal"/>
    <w:link w:val="TitleChar"/>
    <w:uiPriority w:val="10"/>
    <w:qFormat/>
    <w:rsid w:val="00CF6D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6D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6D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6D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6D9E"/>
    <w:pPr>
      <w:spacing w:before="160"/>
      <w:jc w:val="center"/>
    </w:pPr>
    <w:rPr>
      <w:i/>
      <w:iCs/>
      <w:color w:val="404040" w:themeColor="text1" w:themeTint="BF"/>
    </w:rPr>
  </w:style>
  <w:style w:type="character" w:customStyle="1" w:styleId="QuoteChar">
    <w:name w:val="Quote Char"/>
    <w:basedOn w:val="DefaultParagraphFont"/>
    <w:link w:val="Quote"/>
    <w:uiPriority w:val="29"/>
    <w:rsid w:val="00CF6D9E"/>
    <w:rPr>
      <w:i/>
      <w:iCs/>
      <w:color w:val="404040" w:themeColor="text1" w:themeTint="BF"/>
    </w:rPr>
  </w:style>
  <w:style w:type="paragraph" w:styleId="ListParagraph">
    <w:name w:val="List Paragraph"/>
    <w:basedOn w:val="Normal"/>
    <w:uiPriority w:val="34"/>
    <w:qFormat/>
    <w:rsid w:val="00CF6D9E"/>
    <w:pPr>
      <w:ind w:left="720"/>
      <w:contextualSpacing/>
    </w:pPr>
  </w:style>
  <w:style w:type="character" w:styleId="IntenseEmphasis">
    <w:name w:val="Intense Emphasis"/>
    <w:basedOn w:val="DefaultParagraphFont"/>
    <w:uiPriority w:val="21"/>
    <w:qFormat/>
    <w:rsid w:val="00CF6D9E"/>
    <w:rPr>
      <w:i/>
      <w:iCs/>
      <w:color w:val="0F4761" w:themeColor="accent1" w:themeShade="BF"/>
    </w:rPr>
  </w:style>
  <w:style w:type="paragraph" w:styleId="IntenseQuote">
    <w:name w:val="Intense Quote"/>
    <w:basedOn w:val="Normal"/>
    <w:next w:val="Normal"/>
    <w:link w:val="IntenseQuoteChar"/>
    <w:uiPriority w:val="30"/>
    <w:qFormat/>
    <w:rsid w:val="00CF6D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6D9E"/>
    <w:rPr>
      <w:i/>
      <w:iCs/>
      <w:color w:val="0F4761" w:themeColor="accent1" w:themeShade="BF"/>
    </w:rPr>
  </w:style>
  <w:style w:type="character" w:styleId="IntenseReference">
    <w:name w:val="Intense Reference"/>
    <w:basedOn w:val="DefaultParagraphFont"/>
    <w:uiPriority w:val="32"/>
    <w:qFormat/>
    <w:rsid w:val="00CF6D9E"/>
    <w:rPr>
      <w:b/>
      <w:bCs/>
      <w:smallCaps/>
      <w:color w:val="0F4761" w:themeColor="accent1" w:themeShade="BF"/>
      <w:spacing w:val="5"/>
    </w:rPr>
  </w:style>
  <w:style w:type="paragraph" w:styleId="Header">
    <w:name w:val="header"/>
    <w:basedOn w:val="Normal"/>
    <w:link w:val="HeaderChar"/>
    <w:uiPriority w:val="99"/>
    <w:unhideWhenUsed/>
    <w:rsid w:val="00CF6D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6D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c5e6e129-f928-4a05-ae32-d838f6b21bdd}" enabled="1" method="Standard" siteId="{8b87af7d-8647-4dc7-8df4-5f69a2011bb5}" contentBits="3" removed="0"/>
</clbl:labelList>
</file>

<file path=docProps/app.xml><?xml version="1.0" encoding="utf-8"?>
<Properties xmlns="http://schemas.openxmlformats.org/officeDocument/2006/extended-properties" xmlns:vt="http://schemas.openxmlformats.org/officeDocument/2006/docPropsVTypes">
  <Template>Normal.dotm</Template>
  <TotalTime>14</TotalTime>
  <Pages>6</Pages>
  <Words>1342</Words>
  <Characters>8847</Characters>
  <Application>Microsoft Office Word</Application>
  <DocSecurity>0</DocSecurity>
  <Lines>170</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BRAJESH Navendu</dc:creator>
  <cp:keywords/>
  <dc:description/>
  <cp:lastModifiedBy>BRAJESH Navendu</cp:lastModifiedBy>
  <cp:revision>4</cp:revision>
  <dcterms:created xsi:type="dcterms:W3CDTF">2025-12-17T08:53:00Z</dcterms:created>
  <dcterms:modified xsi:type="dcterms:W3CDTF">2025-12-17T11:12:00Z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716ad1c8,4663cea4,3f6230e4</vt:lpwstr>
  </property>
  <property fmtid="{D5CDD505-2E9C-101B-9397-08002B2CF9AE}" pid="3" name="ClassificationContentMarkingHeaderFontProps">
    <vt:lpwstr>#cf022b,8,Tahoma</vt:lpwstr>
  </property>
  <property fmtid="{D5CDD505-2E9C-101B-9397-08002B2CF9AE}" pid="4" name="ClassificationContentMarkingHeaderText">
    <vt:lpwstr>               C2 - Restricted use</vt:lpwstr>
  </property>
</Properties>
</file>