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ID: NYA-RCC-2026-04</w:t>
      </w:r>
    </w:p>
    <w:p>
      <w:r>
        <w:t>Version: 1.1</w:t>
      </w:r>
    </w:p>
    <w:p>
      <w:r>
        <w:t>Effective Date: 2026-04-01</w:t>
      </w:r>
    </w:p>
    <w:p>
      <w:r>
        <w:t>Classification: FICTIONAL TRAINING SAMPLE</w:t>
      </w:r>
    </w:p>
    <w:p>
      <w:r>
        <w:t>This document is not legal advice and contains no real company data.</w:t>
      </w:r>
    </w:p>
    <w:p>
      <w:r>
        <w:t>The regulator, portal, and currency units are fictional.</w:t>
      </w:r>
    </w:p>
    <w:p>
      <w:r>
        <w:t>Regulated providers must submit a quarterly compliance report.</w:t>
      </w:r>
    </w:p>
    <w:p>
      <w:r>
        <w:t>The report deadline is the 15th calendar day after the end of each calendar quarter.</w:t>
      </w:r>
    </w:p>
    <w:p>
      <w:r>
        <w:t>If the date falls on a public holiday, submission is due on the next business day.</w:t>
      </w:r>
    </w:p>
    <w:p>
      <w:r>
        <w:t>Late filing penalty is 25,000 fictional compliance units per calendar day.</w:t>
      </w:r>
    </w:p>
    <w:p>
      <w:r>
        <w:t>The penalty is capped at 500,000 fictional compliance units per report.</w:t>
      </w:r>
    </w:p>
    <w:p>
      <w:r>
        <w:t>Submissions go through the fictional DCCA Compliance Gateway.</w:t>
      </w:r>
    </w:p>
    <w:p>
      <w:r>
        <w:t>The Digital Communications Compliance Authority, abbreviated DCCA, is fictional.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