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SUR-IRP-002</w:t>
      </w:r>
    </w:p>
    <w:p>
      <w:r>
        <w:t>Version: 1.2</w:t>
      </w:r>
    </w:p>
    <w:p>
      <w:r>
        <w:t>Effective Date: 2026-03-01</w:t>
      </w:r>
    </w:p>
    <w:p>
      <w:r>
        <w:t>Classification: FICTIONAL TRAINING SAMPLE</w:t>
      </w:r>
    </w:p>
    <w:p>
      <w:r>
        <w:t>This document contains no real company, incident, employee, vendor, or contact data.</w:t>
      </w:r>
    </w:p>
    <w:p>
      <w:r>
        <w:t>This document is for training purposes only.</w:t>
      </w:r>
    </w:p>
    <w:p>
      <w:pPr>
        <w:pStyle w:val="Heading1"/>
      </w:pPr>
      <w:r>
        <w:t>Section 3 — Severity Classification</w:t>
      </w:r>
    </w:p>
    <w:p>
      <w:r>
        <w:t>Severity 1 Critical</w:t>
      </w:r>
    </w:p>
    <w:p>
      <w:r>
        <w:t>- confirmed widespread compromise</w:t>
      </w:r>
    </w:p>
    <w:p>
      <w:r>
        <w:t>- material customer-data exposure</w:t>
      </w:r>
    </w:p>
    <w:p>
      <w:r>
        <w:t>- substantial business-service disruption</w:t>
      </w:r>
    </w:p>
    <w:p>
      <w:r>
        <w:t>Severity 2 High</w:t>
      </w:r>
    </w:p>
    <w:p>
      <w:r>
        <w:t>- confirmed compromise with limited scope</w:t>
      </w:r>
    </w:p>
    <w:p>
      <w:r>
        <w:t>- suspected customer-data exposure requiring investigation</w:t>
      </w:r>
    </w:p>
    <w:p>
      <w:r>
        <w:t>- sustained disruption to an important service</w:t>
      </w:r>
    </w:p>
    <w:p>
      <w:r>
        <w:t>Severity 3 Medium</w:t>
      </w:r>
    </w:p>
    <w:p>
      <w:r>
        <w:t>- contained malware</w:t>
      </w:r>
    </w:p>
    <w:p>
      <w:r>
        <w:t>- unsuccessful privilege escalation</w:t>
      </w:r>
    </w:p>
    <w:p>
      <w:r>
        <w:t>- isolated policy violation requiring investigation</w:t>
      </w:r>
    </w:p>
    <w:p>
      <w:r>
        <w:t>Severity 4 Low</w:t>
      </w:r>
    </w:p>
    <w:p>
      <w:r>
        <w:t>- low-impact event</w:t>
      </w:r>
    </w:p>
    <w:p>
      <w:r>
        <w:t>- blocked attempt</w:t>
      </w:r>
    </w:p>
    <w:p>
      <w:r>
        <w:t>- informational investigation</w:t>
      </w:r>
    </w:p>
    <w:p>
      <w:pPr>
        <w:pStyle w:val="Heading1"/>
      </w:pPr>
      <w:r>
        <w:t>Section 6 — Notification</w:t>
      </w:r>
    </w:p>
    <w:p>
      <w:r>
        <w:t>Affected parties must be notified without undue delay and no later than 72 hours after a breach is confirmed.</w:t>
      </w:r>
    </w:p>
    <w:p>
      <w:r>
        <w:t>The 72-hour period begins when the Incident Commander records confirmation in the incident record.</w:t>
      </w:r>
    </w:p>
    <w:p>
      <w:r>
        <w:t>Legal and Privacy teams approve the notification content.</w:t>
      </w:r>
    </w:p>
    <w:p>
      <w:r>
        <w:t>This is a fictional internal training requirement and not a statement of real law.</w:t>
      </w:r>
    </w:p>
    <w:p>
      <w:pPr>
        <w:pStyle w:val="Heading1"/>
      </w:pPr>
      <w:r>
        <w:t>Section 9 — Closure Authority</w:t>
      </w:r>
    </w:p>
    <w:p>
      <w:r>
        <w:t>Only the Incident Commander may declare a Severity 1 or Severity 2 incident closed.</w:t>
      </w:r>
    </w:p>
    <w:p>
      <w:r>
        <w:t>A Severity 3 or Severity 4 incident may be closed by the Incident Manager.</w:t>
      </w:r>
    </w:p>
    <w:p>
      <w:r>
        <w:t>Closure requires containment confirmation, recovery validation, evidence preservation, and assigned follow-up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