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Firma-KI Technical Architecture &amp; Documentation</w:t>
      </w:r>
    </w:p>
    <w:p>
      <w:pPr>
        <w:pStyle w:val="Heading1"/>
      </w:pPr>
      <w:r>
        <w:t>1. System Overview</w:t>
      </w:r>
    </w:p>
    <w:p>
      <w:r>
        <w:t>Firma-KI is built on a scalable Django backend utilizing Python and SQLite/PostgreSQL. It serves primarily as a reverse proxy API Gateway via Django Rest Framework, acting as an intermediary for external AI provider requests. The system features a modular architecture segmented into three primary engines: the PII Masker, the NEX Token Pipeline, and the Analytics Hub.</w:t>
      </w:r>
    </w:p>
    <w:p>
      <w:pPr>
        <w:pStyle w:val="Heading1"/>
      </w:pPr>
      <w:r>
        <w:t>2. The PII Masking Engine</w:t>
      </w:r>
    </w:p>
    <w:p>
      <w:r>
        <w:t>The PII Gateway is executed synchronously during an outbound request. It operates on two layers:</w:t>
      </w:r>
    </w:p>
    <w:p>
      <w:pPr>
        <w:pStyle w:val="ListNumber"/>
      </w:pPr>
      <w:r>
        <w:t>1. Heuristic &amp; Regex Rules: Utilized for rigidly formatted entities such as Social Security Numbers, phone numbers, and IBANs.</w:t>
      </w:r>
    </w:p>
    <w:p>
      <w:pPr>
        <w:pStyle w:val="ListNumber"/>
      </w:pPr>
      <w:r>
        <w:t>2. Natural Language Processing (NLP): Powered by Scrubadub and TextBlob corpora. Instead of broad regex matching that incorrectly masks phrases like 'Software Engineer' or 'Sustainability Dimensions', the engine analyzes the part-of-speech context of the text to accurately isolate human names (e.g., 'John Doe').</w:t>
      </w:r>
    </w:p>
    <w:p>
      <w:pPr>
        <w:pStyle w:val="Heading2"/>
      </w:pPr>
      <w:r>
        <w:t>2.1 Two-Way Token Injection</w:t>
      </w:r>
    </w:p>
    <w:p>
      <w:r>
        <w:t>When an entity is masked (e.g., 'Navid Falah' to '[NAME_14]'), a temporary state lookup (DocumentKeyMapping) is persisted in the database. The proxy translates the outbound prompt. Upon receiving the LLM's response, the proxy performs a reverse regular expression sweep to re-integrate 'Navid Falah' seamlessly back into the payload, effectively shielding the data without the downstream application noticing.</w:t>
      </w:r>
    </w:p>
    <w:p>
      <w:pPr>
        <w:pStyle w:val="Heading2"/>
      </w:pPr>
      <w:r>
        <w:t>2.2 Full PDF Visual Redaction</w:t>
      </w:r>
    </w:p>
    <w:p>
      <w:r>
        <w:t>Beyond unstructured text, Firma-KI uses PyMuPDF (fitz) to natively interact with binary PDF documents uploaded via the Clean Files dashboard. Masked coordinates are calculated mathematically, and black SVG overlay boxes are drawn directly onto the PDF buffer. This preserves the authentic file structure rather than flattening it to plaintext.</w:t>
      </w:r>
    </w:p>
    <w:p>
      <w:pPr>
        <w:pStyle w:val="Heading1"/>
      </w:pPr>
      <w:r>
        <w:t>3. The 3-Stage NEX Pipeline</w:t>
      </w:r>
    </w:p>
    <w:p>
      <w:r>
        <w:t>The NEX (Natural Exponential eXchange) Pipeline is an advanced compression tool designed to minimize LLM token counts:</w:t>
      </w:r>
    </w:p>
    <w:p>
      <w:pPr>
        <w:pStyle w:val="ListBullet"/>
      </w:pPr>
      <w:r>
        <w:t>- Stage 1 (compress_to_nex): Outbound prompts are lexically parsed and compacted into NEX representations.</w:t>
      </w:r>
    </w:p>
    <w:p>
      <w:pPr>
        <w:pStyle w:val="ListBullet"/>
      </w:pPr>
      <w:r>
        <w:t>- Stage 2 (LLM Transport): The compressed payload is sent to an external provider saving up to 40% on token transport costs.</w:t>
      </w:r>
    </w:p>
    <w:p>
      <w:pPr>
        <w:pStyle w:val="ListBullet"/>
      </w:pPr>
      <w:r>
        <w:t>- Stage 3 (translate_from_nex): The raw response bitstream is decoded back into human-readable text before being returned to the end-user.</w:t>
      </w:r>
    </w:p>
    <w:p>
      <w:pPr>
        <w:pStyle w:val="Heading1"/>
      </w:pPr>
      <w:r>
        <w:t>4. The Dashboard &amp; Analytics Hub</w:t>
      </w:r>
    </w:p>
    <w:p>
      <w:r>
        <w:t>A responsive HTML/Tailwind frontend provides administrators with granular controls. The dashboard tracks variables such as latency (ms), upstream token response sizes, and financial costs per organization. A 'Clean Files' view allows for secure Markdown-enabled isolated chat interfaces linked dynamically to user-uploaded text and PDF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