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مدل روی همان مجموعه‌داده منتشرشده‌ای آموزش دید که روش‌های مرجع با آن آموزش دیده‌اند و با ارزیاب و پروتکل ترافیکی رسمی همان محک سنجیده شد؛ افزون بر آن، عامل ممتاز مرجع از درون همین زنجیره ارزیابی اجرا شد تا درستی ابزار اندازه‌گیری در برابر یک مقدار منتشرشده بیرونی راستی‌آزمایی شود. نتایج نشان می‌دهد روش پیشنهادی به امتیاز رانندگی ۵۵٫۸ دست می‌یابد که در محدوده مقایسه‌پذیر با مقادیر گزارش‌شده روش‌های پیشرفته قرار دارد. تأکید می‌شود که خط‌مبناهای بیرونی در این پژوهش بازآموزی و اجرا نشده‌اند و اعدادشان نقل‌شده است؛ از این رو ادعای برتری آماری بر آنها مطرح نمی‌شود و استدلال‌های معنادار این پژوهش بر مقایسه‌های درونی استوارند، جایی که همه پیکربندی‌ها در یک زنجیره و با یک بذر اجرا شده‌اند.</w:t>
      </w:r>
    </w:p>
    <w:p>
      <w:r>
        <w:rPr>
          <w:rFonts w:hint="cs"/>
          <w:rtl/>
        </w:rPr>
        <w:t xml:space="preserve">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جدول مقایسه است. در شرایط باران شدید و مه، افت عملکرد مدل پیشنهادی کمتر از نصف افت مدل تک‌حسگری مبتنی بر دوربین است، و در سناریوی قطع ۵۰ درصدی فریم‌های لیدار، امتیاز آن در برابر گونه آموزش‌دیده بدون دروازه و بدون حذف تصادفی حسگر به‌مراتب بهتر حفظ می‌شود و هیچ‌گاه از سطح مدل دوربین-تنها پایین‌تر نمی‌رود. این نتایج نشان می‌دهد ترکیب آگاه از اطمینان حسگرها، مسیری مؤثر برای دستیابی هم‌زمان به دقت، کارایی محاسباتی و استواری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یک هسته شباهت تجزیه‌پذیر پیاده‌سازی می‌کند و پیچیدگی عملگر توجه را از مرتبه دوم به مرتبه خطی نسبت به تعداد نشانه‌ها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به‌صورت تجربی بهبود می‌دهد.</w:t>
      </w:r>
    </w:p>
    <w:p>
      <w:r>
        <w:rPr>
          <w:rFonts w:hint="cs"/>
          <w:rtl/>
        </w:rPr>
        <w:t xml:space="preserve">درباره مورد نخست یک تصریح لازم است که در بخش ۳‌.‌۴‌.‌۴ به آن بازگشته می‌شود: جایگزینی هسته نمایی با هسته تجزیه‌پذیر، تقریبی از توجه </w:t>
      </w:r>
      <w:r>
        <w:t xml:space="preserve">softmax</w:t>
      </w:r>
      <w:r>
        <w:rPr>
          <w:rFonts w:hint="cs"/>
          <w:rtl/>
        </w:rPr>
        <w:t xml:space="preserve"> نیست بلکه سازوکار توجهی با هسته شباهت متفاوت است. آنچه حفظ می‌شود نامنفی‌بودن و نرمال‌بودن وزن‌ها است و نه مقدار آنها؛ بنابراین ادعای این پایان‌نامه «تقریب ارزان‌تر توجه کامل» نیست، بلکه «سازوکار توجه دیگری با هزینه خطی که در این وظیفه عملکرد هم‌ارز نشان می‌دهد» است.</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عمدتاً بر وظیفه ادراک متمرکزند و یکسان‌سازی صریح دو وجه در یک شبکه متریک را پیشنهاد می‌کنند. معماری فصل چهارم مسیر دیگری را برمی‌گزیند: نشانه‌های دوربین در فضای تصویر باقی می‌مانند و تناظر میان دو وجه به‌جای آنکه با یک تبدیل هندسی صریح تحمیل شود، بر عهده توجه متقابل گذاشته می‌شود. اطلاعات هندسی از راه رمزگذاری موقعیت وارد می‌شود: نشانه‌های لیدار مختصات متریک نمای پرنده و نشانه‌های تصویر مختصات شبکه ویژگی خود را حمل می‌کنند. انگیزه این انتخاب پرهیز از خطای تخمین عمق است؛ تصویرکردن ویژگی‌های تصویر به شبکه متریک، به تخمین عمق نیاز دارد و خطای آن مستقیماً به جابه‌جایی فضایی ویژگی‌ها ترجمه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مماس (نوار پیوسته ۱۸۰ درجه که به ۱۳۲ درجه مرکزی برش می‌خورد)، ابر نقاط یک لیدار ۶۴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141976" cy="370332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141976" cy="370332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5202936" cy="327964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5202936" cy="32796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با احتساب دو جهت و </w:t>
      </w:r>
      <m:oMath xmlns:m="http://schemas.openxmlformats.org/officeDocument/2006/math">
        <m:r>
          <m:t>L=4</m:t>
        </m:r>
      </m:oMath>
      <w:r>
        <w:rPr>
          <w:rFonts w:hint="cs"/>
          <w:rtl/>
        </w:rPr>
        <w:t xml:space="preserve"> بلوک، عملگر توجه از ۷٫۳۸ به ۰٫۵۹ گیگا-عملیات می‌رسد، یعنی کاهش ۹۲ درصدی و صرفه‌جویی ۶٫۷۹ گیگا-عملیات.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۵‌.‌۸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متغیر جلوتر گرفته می‌شود — نخستین رأس پیش‌روی مسیر تنک، که در مجموعه‌داده به‌طور میانگین ۲۳ متر و در بازه ۱۰ تا ۶۰ متر قرار دارد — نه یکی از نقاط مسیر مرجع؛ استفاده از نقاط مرجع به‌عنوان ورودی، به نشت برچسب و بی‌اعتبارشدن ارزیابی می‌انجامید.</w:t>
      </w:r>
    </w:p>
    <w:p>
      <w:pPr>
        <w:pStyle w:val="Heading3"/>
      </w:pPr>
      <w:r>
        <w:rPr>
          <w:rFonts w:hint="cs"/>
          <w:rtl/>
        </w:rPr>
        <w:t xml:space="preserve">خوانش پرسش‌محور: گونه جایگزین رمزگشا</w:t>
      </w:r>
    </w:p>
    <w:p>
      <w:r>
        <w:rPr>
          <w:rFonts w:hint="cs"/>
          <w:rtl/>
        </w:rPr>
        <w:t xml:space="preserve">رمزگشای بالا دو ویژگی دارد که هر دو قابل بازبینی‌اند. نخست، تمام ساختار فضایی صحنه پیش از رسیدن به رمزگشا در یک بردار میانگین‌گیری فشرده می‌شود؛ دوم، هدف ناوبری تنها در رمزگشا وارد می‌شود و ماژول ترکیب هیچ اطلاعی از مقصد ندارد. برای سنجش سهم این دو انتخاب، گونه جایگزینی از رمزگشا نیز پیاده و در بخش ۵‌.‌۵ ارزیابی می‌شود.</w:t>
      </w:r>
    </w:p>
    <w:p>
      <w:r>
        <w:rPr>
          <w:rFonts w:hint="cs"/>
          <w:rtl/>
        </w:rPr>
        <w:t xml:space="preserve">در این گونه، به‌جای میانگین‌گیری، مجموعه‌ای از </w:t>
      </w:r>
      <m:oMath xmlns:m="http://schemas.openxmlformats.org/officeDocument/2006/math">
        <m:r>
          <m:t>Q</m:t>
        </m:r>
      </m:oMath>
      <w:r>
        <w:rPr>
          <w:rFonts w:hint="cs"/>
          <w:rtl/>
        </w:rPr>
        <w:t xml:space="preserve"> پرسمان برنامه‌ریزی آموختنی </w:t>
      </w:r>
      <m:oMath xmlns:m="http://schemas.openxmlformats.org/officeDocument/2006/math">
        <m:r>
          <m:t>{</m:t>
        </m:r>
        <m:sSub>
          <m:e>
            <m:r>
              <m:t>q</m:t>
            </m:r>
          </m:e>
          <m:sub>
            <m:r>
              <m:t>r</m:t>
            </m:r>
          </m:sub>
        </m:sSub>
        <m:sSubSup>
          <m:e>
            <m:r>
              <m:t>}</m:t>
            </m:r>
          </m:e>
          <m:sub>
            <m:r>
              <m:t>r=1</m:t>
            </m:r>
          </m:sub>
          <m:sup>
            <m:r>
              <m:t>Q</m:t>
            </m:r>
          </m:sup>
        </m:sSubSup>
      </m:oMath>
      <w:r>
        <w:rPr>
          <w:rFonts w:hint="cs"/>
          <w:rtl/>
        </w:rPr>
        <w:t xml:space="preserve"> تعریف می‌شود که مستقیماً از نشانه‌های ترکیب‌شده می‌خوانند. هر پرسمان در چند لایه، ابتدا با خودتوجهی میان پرسمان‌ها و سپس با توجه متقابل به نشانه‌ها به‌روز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p>
          <m:e>
            <m:r>
              <m:t>Q</m:t>
            </m:r>
          </m:e>
          <m:sup>
            <m:r>
              <m:t>(r+1)</m:t>
            </m:r>
          </m:sup>
        </m:sSup>
        <m:r>
          <m:t>=</m:t>
        </m:r>
        <m:r>
          <m:rPr>
            <m:sty m:val="p"/>
          </m:rPr>
          <m:t>LN</m:t>
        </m:r>
        <m:r>
          <m:t>(</m:t>
        </m:r>
        <m:sSup>
          <m:e>
            <m:limUpp>
              <m:e>
                <m:r>
                  <m:t>Q</m:t>
                </m:r>
              </m:e>
              <m:lim>
                <m:r>
                  <m:t>~</m:t>
                </m:r>
              </m:lim>
            </m:limUpp>
          </m:e>
          <m:sup>
            <m:r>
              <m:t>(r)</m:t>
            </m:r>
          </m:sup>
        </m:sSup>
        <m:r>
          <m:t>+</m:t>
        </m:r>
        <m:r>
          <m:rPr>
            <m:sty m:val="p"/>
          </m:rPr>
          <m:t>LinAtt</m:t>
        </m:r>
        <m:r>
          <m:t>(</m:t>
        </m:r>
        <m:sSup>
          <m:e>
            <m:limUpp>
              <m:e>
                <m:r>
                  <m:t>Q</m:t>
                </m:r>
              </m:e>
              <m:lim>
                <m:r>
                  <m:t>~</m:t>
                </m:r>
              </m:lim>
            </m:limUpp>
          </m:e>
          <m:sup>
            <m:r>
              <m:t>(r)</m:t>
            </m:r>
          </m:sup>
        </m:sSup>
        <m:r>
          <m:t>,</m:t>
        </m:r>
        <m:sSup>
          <m:e>
            <m:r>
              <m:t>F</m:t>
            </m:r>
          </m:e>
          <m:sup>
            <m:r>
              <m:t>(L)</m:t>
            </m:r>
          </m:sup>
        </m:sSup>
        <m:r>
          <m:t>,</m:t>
        </m:r>
        <m:sSup>
          <m:e>
            <m:r>
              <m:t>F</m:t>
            </m:r>
          </m:e>
          <m:sup>
            <m:r>
              <m:t>(L)</m:t>
            </m:r>
          </m:sup>
        </m:sSup>
        <m:r>
          <m:t>)</m:t>
        </m:r>
        <m:r>
          <m:t>)</m:t>
        </m:r>
        <m:r>
          <m:t>,</m:t>
        </m:r>
        <m:sSup>
          <m:e>
            <m:limUpp>
              <m:e>
                <m:r>
                  <m:t>Q</m:t>
                </m:r>
              </m:e>
              <m:lim>
                <m:r>
                  <m:t>~</m:t>
                </m:r>
              </m:lim>
            </m:limUpp>
          </m:e>
          <m:sup>
            <m:r>
              <m:t>(r)</m:t>
            </m:r>
          </m:sup>
        </m:sSup>
        <m:r>
          <m:t>=</m:t>
        </m:r>
        <m:r>
          <m:rPr>
            <m:sty m:val="p"/>
          </m:rPr>
          <m:t>LN</m:t>
        </m:r>
        <m:r>
          <m:t>(</m:t>
        </m:r>
        <m:sSup>
          <m:e>
            <m:r>
              <m:t>Q</m:t>
            </m:r>
          </m:e>
          <m:sup>
            <m:r>
              <m:t>(r)</m:t>
            </m:r>
          </m:sup>
        </m:sSup>
        <m:r>
          <m:t>+</m:t>
        </m:r>
        <m:r>
          <m:rPr>
            <m:sty m:val="p"/>
          </m:rPr>
          <m:t>MHA</m:t>
        </m:r>
        <m:r>
          <m:t>(</m:t>
        </m:r>
        <m:sSup>
          <m:e>
            <m:r>
              <m:t>Q</m:t>
            </m:r>
          </m:e>
          <m:sup>
            <m:r>
              <m:t>(r)</m:t>
            </m:r>
          </m:sup>
        </m:sSup>
        <m:r>
          <m:t>,</m:t>
        </m:r>
        <m:sSup>
          <m:e>
            <m:r>
              <m:t>Q</m:t>
            </m:r>
          </m:e>
          <m:sup>
            <m:r>
              <m:t>(r)</m:t>
            </m:r>
          </m:sup>
        </m:sSup>
        <m:r>
          <m:t>,</m:t>
        </m:r>
        <m:sSup>
          <m:e>
            <m:r>
              <m:t>Q</m:t>
            </m:r>
          </m:e>
          <m:sup>
            <m:r>
              <m:t>(r)</m:t>
            </m:r>
          </m:sup>
        </m:sSup>
        <m:r>
          <m:t>))</m:t>
        </m:r>
      </m:oMath>
    </w:p>
    <w:p>
      <w:r>
        <w:rPr>
          <w:rFonts w:hint="cs"/>
          <w:rtl/>
        </w:rPr>
        <w:t xml:space="preserve">که </w:t>
      </w:r>
      <m:oMath xmlns:m="http://schemas.openxmlformats.org/officeDocument/2006/math">
        <m:sSup>
          <m:e>
            <m:r>
              <m:t>F</m:t>
            </m:r>
          </m:e>
          <m:sup>
            <m:r>
              <m:t>(L)</m:t>
            </m:r>
          </m:sup>
        </m:sSup>
        <m:r>
          <m:t>=[</m:t>
        </m:r>
        <m:sSubSup>
          <m:e>
            <m:r>
              <m:t>F</m:t>
            </m:r>
          </m:e>
          <m:sub>
            <m:r>
              <m:t>c</m:t>
            </m:r>
          </m:sub>
          <m:sup>
            <m:r>
              <m:t>(L)</m:t>
            </m:r>
          </m:sup>
        </m:sSubSup>
        <m:r>
          <m:t>;</m:t>
        </m:r>
        <m:sSubSup>
          <m:e>
            <m:r>
              <m:t>F</m:t>
            </m:r>
          </m:e>
          <m:sub>
            <m:r>
              <m:t>l</m:t>
            </m:r>
          </m:sub>
          <m:sup>
            <m:r>
              <m:t>(L)</m:t>
            </m:r>
          </m:sup>
        </m:sSubSup>
        <m:r>
          <m:t>]</m:t>
        </m:r>
      </m:oMath>
      <w:r>
        <w:rPr>
          <w:rFonts w:hint="cs"/>
          <w:rtl/>
        </w:rPr>
        <w:t xml:space="preserve"> اجتماع نشانه‌های دو وجه پس از آخرین بلوک ترکیب است. نقاط مسیر از پرسمان‌های نهایی و به‌صورت تفاضلی خوانده می‌شوند. در این آرایش، هدف ناوبری به‌جای رمزگشا در ورودی ماژول ترکیب تزریق می‌شود، بنابراین توجه متقابل می‌تواند از همان بلوک نخست بر نواحی مرتبط با مقصد متمرکز شود.</w:t>
      </w:r>
    </w:p>
    <w:p>
      <w:r>
        <w:rPr>
          <w:rFonts w:hint="cs"/>
          <w:rtl/>
        </w:rPr>
        <w:t xml:space="preserve">افزون بر نقاط مسیر، این گونه یک سر طبقه‌بندی سرعت هدف نیز دارد که سرعت مطلوب را روی بازه‌های گسسته پیش‌بینی می‌کند و کنترل‌کننده طولی به‌جای استخراج آن از فاصله نقاط مسیر، مستقیماً از این سر می‌خواند. انگیزه این افزوده، تحلیل توزیع خطای بخش ۵‌.‌۷ است که نشان می‌دهد دنباله خطای مدل تقریباً به‌طور کامل طولی است و نه جانبی؛ یعنی ضعف اصلی در تشخیص زمان ترمز و حرکت است و نه در تعیین مسیر.</w:t>
      </w:r>
    </w:p>
    <w:p>
      <w:r>
        <w:rPr>
          <w:rFonts w:hint="cs"/>
          <w:rtl/>
        </w:rPr>
        <w:t xml:space="preserve">این گونه، هر سه تغییر را هم‌زمان اعمال می‌کند — حذف گلوگاه میانگین‌گیری، تزریق زودهنگام هدف، و سر سرعت — بنابراین اثر آن در بخش ۵‌.‌۵ به‌صورت مجموع گزارش می‌شود و نه به تفکیک سه مؤلفه. تفکیک سهم هر مؤلفه نیازمند سه اجرای مستقل دیگر است که در محدودیت‌های بخش ۶‌.‌۳ ذکر شده‌است.</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3"/>
      </w:pPr>
      <w:r>
        <w:rPr>
          <w:rFonts w:hint="cs"/>
          <w:rtl/>
        </w:rPr>
        <w:t xml:space="preserve">خزش: مهار مسئله اینرسی</w:t>
      </w:r>
    </w:p>
    <w:p>
      <w:r>
        <w:rPr>
          <w:rFonts w:hint="cs"/>
          <w:rtl/>
        </w:rPr>
        <w:t xml:space="preserve">سیاست‌های آموخته‌شده با رفتار تقلیدی از یک آسیب شناخته‌شده رنج می‌برند که در ادبیات با نام </w:t>
      </w:r>
      <w:r>
        <w:rPr>
          <w:rFonts w:hint="cs"/>
          <w:rtl/>
        </w:rPr>
        <w:t xml:space="preserve">مسئله اینرسی</w:t>
      </w:r>
      <w:r>
        <w:rPr>
          <w:rStyle w:val="FootnoteReference"/>
          <w:rtl/>
        </w:rPr>
        <w:footnoteReference w:id="49"/>
      </w:r>
      <w:r>
        <w:rPr>
          <w:rFonts w:hint="cs"/>
          <w:rtl/>
        </w:rPr>
        <w:t xml:space="preserve"> شناخته می‌شود [14و25]. ریشه آن در خود داده است: در ترافیک متراکم، فراوان‌ترین کاری که در داده مشاهده می‌شود «ایستادن پس از ایستادن» است. شبکه این هم‌بستگی را می‌آموزد و سرعت صفر خودرو خود به قوی‌ترین شاهد برای پیش‌بینی سرعت صفر بعدی تبدیل می‌شود. نتیجه، یک حالت خودپایدار است: خودرو می‌ایستد و دیگر هرگز راه نمی‌افتد.</w:t>
      </w:r>
    </w:p>
    <w:p>
      <w:r>
        <w:rPr>
          <w:rFonts w:hint="cs"/>
          <w:rtl/>
        </w:rPr>
        <w:t xml:space="preserve">نکته مهم آنکه این آسیب در ارزیابی حلقه‌باز اصلاً دیده نمی‌شود، بلکه پاداش هم می‌گیرد؛ زیرا پیش‌بینی «ایستادن» در آن قاب‌ها دقیقاً همان چیزی است که خبره انجام داده‌است. تنها در حلقه بسته است که خود را نشان می‌دهد، آن هم به‌صورت نرخ تکمیل مسیر نزدیک صفر. این یکی از روشن‌ترین نمونه‌های استدلال بخش ۵‌.‌۲ است مبنی بر اینکه خطای حلقه‌باز معیار کافی برای سنجش یک سیاست رانندگی نیست.</w:t>
      </w:r>
    </w:p>
    <w:p>
      <w:r>
        <w:rPr>
          <w:rFonts w:hint="cs"/>
          <w:rtl/>
        </w:rPr>
        <w:t xml:space="preserve">برای مهار آن، مطابق مرجع [11]، یک سازوکار خزش در لایه کنترل — و نه در شبکه — افزوده شده‌است. اگر سرعت خودرو برای بیش از </w:t>
      </w:r>
      <m:oMath xmlns:m="http://schemas.openxmlformats.org/officeDocument/2006/math">
        <m:sSub>
          <m:e>
            <m:r>
              <m:t>T</m:t>
            </m:r>
          </m:e>
          <m:sub>
            <m:r>
              <m:rPr>
                <m:sty m:val="p"/>
              </m:rPr>
              <m:t>stuck</m:t>
            </m:r>
          </m:sub>
        </m:sSub>
      </m:oMath>
      <w:r>
        <w:rPr>
          <w:rFonts w:hint="cs"/>
          <w:rtl/>
        </w:rPr>
        <w:t xml:space="preserve"> ثانیه پیوسته زیر ۰٫۱ متر بر ثانیه بماند، کنترل‌کننده به مدت </w:t>
      </w:r>
      <m:oMath xmlns:m="http://schemas.openxmlformats.org/officeDocument/2006/math">
        <m:sSub>
          <m:e>
            <m:r>
              <m:t>T</m:t>
            </m:r>
          </m:e>
          <m:sub>
            <m:r>
              <m:rPr>
                <m:sty m:val="p"/>
              </m:rPr>
              <m:t>creep</m:t>
            </m:r>
          </m:sub>
        </m:sSub>
      </m:oMath>
      <w:r>
        <w:rPr>
          <w:rFonts w:hint="cs"/>
          <w:rtl/>
        </w:rPr>
        <w:t xml:space="preserve"> ثانیه سرعت مطلوب شبکه را نادیده می‌گیرد و مقدار ثابت </w:t>
      </w:r>
      <m:oMath xmlns:m="http://schemas.openxmlformats.org/officeDocument/2006/math">
        <m:sSub>
          <m:e>
            <m:r>
              <m:t>v</m:t>
            </m:r>
          </m:e>
          <m:sub>
            <m:r>
              <m:rPr>
                <m:sty m:val="p"/>
              </m:rPr>
              <m:t>creep</m:t>
            </m:r>
          </m:sub>
        </m:sSub>
      </m:oMath>
      <w:r>
        <w:rPr>
          <w:rFonts w:hint="cs"/>
          <w:rtl/>
        </w:rPr>
        <w:t xml:space="preserve"> را جایگزین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sSub>
          <m:e>
            <m:r>
              <m:t>v</m:t>
            </m:r>
          </m:e>
          <m:sub>
            <m:r>
              <m:rPr>
                <m:sty m:val="p"/>
              </m:rPr>
              <m:t>creep</m:t>
            </m:r>
          </m:sub>
        </m:sSub>
        <m:r>
          <m:rPr>
            <m:nor/>
          </m:rPr>
          <m:t>if</m:t>
        </m:r>
        <m:r>
          <m:rPr>
            <m:sty m:val="p"/>
          </m:rPr>
          <m:t>stuck</m:t>
        </m:r>
        <m:r>
          <m:t>&gt;</m:t>
        </m:r>
        <m:sSub>
          <m:e>
            <m:r>
              <m:t>T</m:t>
            </m:r>
          </m:e>
          <m:sub>
            <m:r>
              <m:rPr>
                <m:sty m:val="p"/>
              </m:rPr>
              <m:t>stuck</m:t>
            </m:r>
          </m:sub>
        </m:sSub>
        <m:r>
          <m:t>∧</m:t>
        </m:r>
        <m:r>
          <m:t>¬</m:t>
        </m:r>
        <m:sSub>
          <m:e>
            <m:r>
              <m:rPr>
                <m:sty m:val="p"/>
              </m:rPr>
              <m:t>hazard</m:t>
            </m:r>
          </m:e>
          <m:sub>
            <m:r>
              <m:t>t</m:t>
            </m:r>
          </m:sub>
        </m:sSub>
      </m:oMath>
    </w:p>
    <w:p>
      <w:r>
        <w:rPr>
          <w:rFonts w:hint="cs"/>
          <w:rtl/>
        </w:rPr>
        <w:t xml:space="preserve">قید </w:t>
      </w:r>
      <m:oMath xmlns:m="http://schemas.openxmlformats.org/officeDocument/2006/math">
        <m:r>
          <m:t>¬</m:t>
        </m:r>
        <m:sSub>
          <m:e>
            <m:r>
              <m:rPr>
                <m:sty m:val="p"/>
              </m:rPr>
              <m:t>hazard</m:t>
            </m:r>
          </m:e>
          <m:sub>
            <m:r>
              <m:t>t</m:t>
            </m:r>
          </m:sub>
        </m:sSub>
      </m:oMath>
      <w:r>
        <w:rPr>
          <w:rFonts w:hint="cs"/>
          <w:rtl/>
        </w:rPr>
        <w:t xml:space="preserve"> ضروری و نه اختیاری است: دلیل ایستادن خودرو غالباً وجود مانعی درست در جلوی آن است، و خزش بدون این قید سازوکاری برای برخورد کنترل‌شده می‌شود. پرچم مانع از شمارش نقاط لیدار در یک جعبه باریک پیش‌روی خودرو به دست می‌آید، یعنی یک پرسش حسگری و نه کنترلی، و به همین دلیل از بیرون به کنترل‌کننده داده می‌شود.</w:t>
      </w:r>
    </w:p>
    <w:p>
      <w:r>
        <w:rPr>
          <w:rFonts w:hint="cs"/>
          <w:rtl/>
        </w:rPr>
        <w:t xml:space="preserve">انتخاب </w:t>
      </w:r>
      <m:oMath xmlns:m="http://schemas.openxmlformats.org/officeDocument/2006/math">
        <m:sSub>
          <m:e>
            <m:r>
              <m:t>T</m:t>
            </m:r>
          </m:e>
          <m:sub>
            <m:r>
              <m:rPr>
                <m:sty m:val="p"/>
              </m:rPr>
              <m:t>stuck</m:t>
            </m:r>
          </m:sub>
        </m:sSub>
        <m:r>
          <m:t>=55</m:t>
        </m:r>
      </m:oMath>
      <w:r>
        <w:rPr>
          <w:rFonts w:hint="cs"/>
          <w:rtl/>
        </w:rPr>
        <w:t xml:space="preserve"> ثانیه عامدانه بلندتر از طولانی‌ترین چراغ قرمز محک است. توقف قانونی طولانی نباید با اینرسی اشتباه گرفته شود؛ خزشی که یک انتظار مجاز را قطع کند، تخلف چراغ قرمز تولید می‌کند و مسئله‌ای را که حل می‌کند با مسئله بدتری جایگزین می‌سازد. مقادیر </w:t>
      </w:r>
      <m:oMath xmlns:m="http://schemas.openxmlformats.org/officeDocument/2006/math">
        <m:sSub>
          <m:e>
            <m:r>
              <m:t>T</m:t>
            </m:r>
          </m:e>
          <m:sub>
            <m:r>
              <m:rPr>
                <m:sty m:val="p"/>
              </m:rPr>
              <m:t>creep</m:t>
            </m:r>
          </m:sub>
        </m:sSub>
        <m:r>
          <m:t>=1.5</m:t>
        </m:r>
      </m:oMath>
      <w:r>
        <w:rPr>
          <w:rFonts w:hint="cs"/>
          <w:rtl/>
        </w:rPr>
        <w:t xml:space="preserve"> ثانیه و </w:t>
      </w:r>
      <m:oMath xmlns:m="http://schemas.openxmlformats.org/officeDocument/2006/math">
        <m:sSub>
          <m:e>
            <m:r>
              <m:t>v</m:t>
            </m:r>
          </m:e>
          <m:sub>
            <m:r>
              <m:rPr>
                <m:sty m:val="p"/>
              </m:rPr>
              <m:t>creep</m:t>
            </m:r>
          </m:sub>
        </m:sSub>
        <m:r>
          <m:t>=4</m:t>
        </m:r>
      </m:oMath>
      <w:r>
        <w:rPr>
          <w:rFonts w:hint="cs"/>
          <w:rtl/>
        </w:rPr>
        <w:t xml:space="preserve"> متر بر ثانیه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50"/>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r>
        <w:rPr>
          <w:rFonts w:hint="cs"/>
          <w:rtl/>
        </w:rPr>
        <w:t xml:space="preserve">در گونه خوانش پرسش‌محور بخش ۴‌.‌۴‌.‌۴ یک جمله چهارم برای سر طبقه‌بندی سرعت هدف افزوده می‌شود که چون آنتروپی متقاطع است، همانند جمله قطعه‌بندی با ضریب </w:t>
      </w:r>
      <m:oMath xmlns:m="http://schemas.openxmlformats.org/officeDocument/2006/math">
        <m:f>
          <m:fPr>
            <m:type m:val="lin"/>
          </m:fPr>
          <m:num>
            <m:r>
              <m:t>1</m:t>
            </m:r>
          </m:num>
          <m:den>
            <m:sSubSup>
              <m:e>
                <m:r>
                  <m:t>σ</m:t>
                </m:r>
              </m:e>
              <m:sub>
                <m:r>
                  <m:t>4</m:t>
                </m:r>
              </m:sub>
              <m:sup>
                <m:r>
                  <m:t>2</m:t>
                </m:r>
              </m:sup>
            </m:sSubSup>
          </m:den>
        </m:f>
      </m:oMath>
      <w:r>
        <w:rPr>
          <w:rFonts w:hint="cs"/>
          <w:rtl/>
        </w:rPr>
        <w:t xml:space="preserve"> وارد می‌شود. برچسب آن از خود نقاط مسیر مرجع و با همان رابطه‌ای ساخته می‌شود که کنترل‌کننده طولی سرعت مطلوب را از فاصله نقاط استخراج می‌کند؛ بنابراین سر سرعت، کمیتی را مستقیماً می‌آموزد که در گونه پایه به‌صورت غیرمستقیم از خروجی رمزگشا محاسبه می‌شد.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بیشینه دریچه گاز / نرخ ترمز</w:t>
            </w:r>
          </w:p>
        </w:tc>
        <w:tc>
          <w:tcPr>
            <w:tcW w:w="3100" w:type="dxa"/>
            <w:vAlign w:val="center"/>
          </w:tcPr>
          <w:p>
            <w:pPr>
              <w:pStyle w:val="InTableC"/>
            </w:pPr>
            <w:r>
              <w:rPr>
                <w:rFonts w:hint="cs"/>
                <w:rtl/>
              </w:rPr>
              <w:t xml:space="preserve">0.75 / 1.05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آستانه توقف / مدت (ثانیه)</w:t>
            </w:r>
          </w:p>
        </w:tc>
        <w:tc>
          <w:tcPr>
            <w:tcW w:w="3100" w:type="dxa"/>
            <w:vAlign w:val="center"/>
          </w:tcPr>
          <w:p>
            <w:pPr>
              <w:pStyle w:val="InTableC"/>
            </w:pPr>
            <w:r>
              <w:rPr>
                <w:rFonts w:hint="cs"/>
                <w:rtl/>
              </w:rPr>
              <w:t xml:space="preserve">55 / 1.5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سرعت تحمیلی (متر بر ثانیه)</w:t>
            </w:r>
          </w:p>
        </w:tc>
        <w:tc>
          <w:tcPr>
            <w:tcW w:w="3100" w:type="dxa"/>
            <w:vAlign w:val="center"/>
          </w:tcPr>
          <w:p>
            <w:pPr>
              <w:pStyle w:val="InTableC"/>
            </w:pPr>
            <w:r>
              <w:rPr>
                <w:rFonts w:hint="cs"/>
                <w:rtl/>
              </w:rPr>
              <w:t xml:space="preserve">4.0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1"/>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دو مجموعه‌داده به‌کاررفته در این پژوهش</w:t>
      </w:r>
    </w:p>
    <w:tbl>
      <w:tblPr>
        <w:tblStyle w:val="TableStyle"/>
        <w:bidiVisual/>
        <w:tblW w:w="0" w:type="auto"/>
        <w:jc w:val="center"/>
        <w:tblLook w:val="0420" w:firstRow="1" w:lastRow="0" w:firstColumn="0" w:lastColumn="0" w:noHBand="1" w:noVBand="1"/>
      </w:tblPr>
      <w:tblGrid>
        <w:gridCol w:w="3400"/>
        <w:gridCol w:w="2600"/>
        <w:gridCol w:w="2700"/>
      </w:tblGrid>
      <w:tr>
        <w:trPr>
          <w:cnfStyle w:val="100000000000"/>
          <w:tblHeader/>
        </w:trPr>
        <w:tc>
          <w:tcPr>
            <w:tcW w:w="3400" w:type="dxa"/>
            <w:vAlign w:val="center"/>
          </w:tcPr>
          <w:p>
            <w:pPr>
              <w:pStyle w:val="InTableCB"/>
            </w:pPr>
            <w:r>
              <w:rPr>
                <w:rFonts w:hint="cs"/>
                <w:rtl/>
              </w:rPr>
              <w:t xml:space="preserve">ویژگی</w:t>
            </w:r>
          </w:p>
        </w:tc>
        <w:tc>
          <w:tcPr>
            <w:tcW w:w="2600" w:type="dxa"/>
            <w:vAlign w:val="center"/>
          </w:tcPr>
          <w:p>
            <w:pPr>
              <w:pStyle w:val="InTableCB"/>
            </w:pPr>
            <w:r>
              <w:rPr>
                <w:rFonts w:hint="cs"/>
                <w:rtl/>
              </w:rPr>
              <w:t xml:space="preserve">جمع‌آوری این پژوهش</w:t>
            </w:r>
          </w:p>
        </w:tc>
        <w:tc>
          <w:tcPr>
            <w:tcW w:w="2700" w:type="dxa"/>
            <w:vAlign w:val="center"/>
          </w:tcPr>
          <w:p>
            <w:pPr>
              <w:pStyle w:val="InTableCB"/>
            </w:pPr>
            <w:r>
              <w:rPr>
                <w:rFonts w:hint="cs"/>
                <w:rtl/>
              </w:rPr>
              <w:t xml:space="preserve">مجموعه منتشرشده [11]</w:t>
            </w:r>
          </w:p>
        </w:tc>
      </w:tr>
      <w:tr>
        <w:tc>
          <w:tcPr>
            <w:tcW w:w="3400" w:type="dxa"/>
            <w:vAlign w:val="center"/>
          </w:tcPr>
          <w:p>
            <w:pPr>
              <w:pStyle w:val="InTableC"/>
            </w:pPr>
            <w:r>
              <w:rPr>
                <w:rFonts w:hint="cs"/>
                <w:rtl/>
              </w:rPr>
              <w:t xml:space="preserve">تعداد شهرها</w:t>
            </w:r>
          </w:p>
        </w:tc>
        <w:tc>
          <w:tcPr>
            <w:tcW w:w="2600" w:type="dxa"/>
            <w:vAlign w:val="center"/>
          </w:tcPr>
          <w:p>
            <w:pPr>
              <w:pStyle w:val="InTableC"/>
            </w:pPr>
            <w:r>
              <w:rPr>
                <w:rFonts w:hint="cs"/>
                <w:rtl/>
              </w:rPr>
              <w:t xml:space="preserve">۵</w:t>
            </w:r>
          </w:p>
        </w:tc>
        <w:tc>
          <w:tcPr>
            <w:tcW w:w="2700" w:type="dxa"/>
            <w:vAlign w:val="center"/>
          </w:tcPr>
          <w:p>
            <w:pPr>
              <w:pStyle w:val="InTableC"/>
            </w:pPr>
            <w:r>
              <w:rPr>
                <w:rFonts w:hint="cs"/>
                <w:rtl/>
              </w:rPr>
              <w:t xml:space="preserve">۸</w:t>
            </w:r>
          </w:p>
        </w:tc>
      </w:tr>
      <w:tr>
        <w:tc>
          <w:tcPr>
            <w:tcW w:w="3400" w:type="dxa"/>
            <w:vAlign w:val="center"/>
          </w:tcPr>
          <w:p>
            <w:pPr>
              <w:pStyle w:val="InTableC"/>
            </w:pPr>
            <w:r>
              <w:rPr>
                <w:rFonts w:hint="cs"/>
                <w:rtl/>
              </w:rPr>
              <w:t xml:space="preserve">تعداد مسیرها</w:t>
            </w:r>
          </w:p>
        </w:tc>
        <w:tc>
          <w:tcPr>
            <w:tcW w:w="2600" w:type="dxa"/>
            <w:vAlign w:val="center"/>
          </w:tcPr>
          <w:p>
            <w:pPr>
              <w:pStyle w:val="InTableC"/>
            </w:pPr>
            <w:r>
              <w:rPr>
                <w:rFonts w:hint="cs"/>
                <w:rtl/>
              </w:rPr>
              <w:t xml:space="preserve">≈ ۵۰</w:t>
            </w:r>
          </w:p>
        </w:tc>
        <w:tc>
          <w:tcPr>
            <w:tcW w:w="2700" w:type="dxa"/>
            <w:vAlign w:val="center"/>
          </w:tcPr>
          <w:p>
            <w:pPr>
              <w:pStyle w:val="InTableC"/>
            </w:pPr>
            <w:r>
              <w:rPr>
                <w:rFonts w:hint="cs"/>
                <w:rtl/>
              </w:rPr>
              <w:t xml:space="preserve">۴۸۸</w:t>
            </w:r>
          </w:p>
        </w:tc>
      </w:tr>
      <w:tr>
        <w:tc>
          <w:tcPr>
            <w:tcW w:w="3400" w:type="dxa"/>
            <w:vAlign w:val="center"/>
          </w:tcPr>
          <w:p>
            <w:pPr>
              <w:pStyle w:val="InTableC"/>
            </w:pPr>
            <w:r>
              <w:rPr>
                <w:rFonts w:hint="cs"/>
                <w:rtl/>
              </w:rPr>
              <w:t xml:space="preserve">تعداد قاب‌ها</w:t>
            </w:r>
          </w:p>
        </w:tc>
        <w:tc>
          <w:tcPr>
            <w:tcW w:w="2600" w:type="dxa"/>
            <w:vAlign w:val="center"/>
          </w:tcPr>
          <w:p>
            <w:pPr>
              <w:pStyle w:val="InTableC"/>
            </w:pPr>
            <w:r>
              <w:rPr>
                <w:rFonts w:hint="cs"/>
                <w:rtl/>
              </w:rPr>
              <w:t xml:space="preserve">۱۹۹٬۴۸۱</w:t>
            </w:r>
          </w:p>
        </w:tc>
        <w:tc>
          <w:tcPr>
            <w:tcW w:w="2700" w:type="dxa"/>
            <w:vAlign w:val="center"/>
          </w:tcPr>
          <w:p>
            <w:pPr>
              <w:pStyle w:val="InTableC"/>
            </w:pPr>
            <w:r>
              <w:rPr>
                <w:rFonts w:hint="cs"/>
                <w:rtl/>
              </w:rPr>
              <w:t xml:space="preserve">۲۵۸٬۸۶۶</w:t>
            </w:r>
          </w:p>
        </w:tc>
      </w:tr>
      <w:tr>
        <w:tc>
          <w:tcPr>
            <w:tcW w:w="3400" w:type="dxa"/>
            <w:vAlign w:val="center"/>
          </w:tcPr>
          <w:p>
            <w:pPr>
              <w:pStyle w:val="InTableC"/>
            </w:pPr>
            <w:r>
              <w:rPr>
                <w:rFonts w:hint="cs"/>
                <w:rtl/>
              </w:rPr>
              <w:t xml:space="preserve">حجم روی دیسک</w:t>
            </w:r>
          </w:p>
        </w:tc>
        <w:tc>
          <w:tcPr>
            <w:tcW w:w="2600" w:type="dxa"/>
            <w:vAlign w:val="center"/>
          </w:tcPr>
          <w:p>
            <w:pPr>
              <w:pStyle w:val="InTableC"/>
            </w:pPr>
            <w:r>
              <w:rPr>
                <w:rFonts w:hint="cs"/>
                <w:rtl/>
              </w:rPr>
              <w:t xml:space="preserve">۲۹ گیگابایت</w:t>
            </w:r>
          </w:p>
        </w:tc>
        <w:tc>
          <w:tcPr>
            <w:tcW w:w="2700" w:type="dxa"/>
            <w:vAlign w:val="center"/>
          </w:tcPr>
          <w:p>
            <w:pPr>
              <w:pStyle w:val="InTableC"/>
            </w:pPr>
            <w:r>
              <w:rPr>
                <w:rFonts w:hint="cs"/>
                <w:rtl/>
              </w:rPr>
              <w:t xml:space="preserve">۲۳۴ گیگابایت</w:t>
            </w:r>
          </w:p>
        </w:tc>
      </w:tr>
      <w:tr>
        <w:tc>
          <w:tcPr>
            <w:tcW w:w="3400" w:type="dxa"/>
            <w:vAlign w:val="center"/>
          </w:tcPr>
          <w:p>
            <w:pPr>
              <w:pStyle w:val="InTableC"/>
            </w:pPr>
            <w:r>
              <w:rPr>
                <w:rFonts w:hint="cs"/>
                <w:rtl/>
              </w:rPr>
              <w:t xml:space="preserve">نرخ گام کنترل خبره</w:t>
            </w:r>
          </w:p>
        </w:tc>
        <w:tc>
          <w:tcPr>
            <w:tcW w:w="2600" w:type="dxa"/>
            <w:vAlign w:val="center"/>
          </w:tcPr>
          <w:p>
            <w:pPr>
              <w:pStyle w:val="InTableC"/>
            </w:pPr>
            <w:r>
              <w:rPr>
                <w:rFonts w:hint="cs"/>
                <w:rtl/>
              </w:rPr>
              <w:t xml:space="preserve">۱۰ هرتز</w:t>
            </w:r>
          </w:p>
        </w:tc>
        <w:tc>
          <w:tcPr>
            <w:tcW w:w="2700" w:type="dxa"/>
            <w:vAlign w:val="center"/>
          </w:tcPr>
          <w:p>
            <w:pPr>
              <w:pStyle w:val="InTableC"/>
            </w:pPr>
            <w:r>
              <w:rPr>
                <w:rFonts w:hint="cs"/>
                <w:rtl/>
              </w:rPr>
              <w:t xml:space="preserve">۲۰ هرتز</w:t>
            </w:r>
          </w:p>
        </w:tc>
      </w:tr>
      <w:tr>
        <w:tc>
          <w:tcPr>
            <w:tcW w:w="3400" w:type="dxa"/>
            <w:vAlign w:val="center"/>
          </w:tcPr>
          <w:p>
            <w:pPr>
              <w:pStyle w:val="InTableC"/>
            </w:pPr>
            <w:r>
              <w:rPr>
                <w:rFonts w:hint="cs"/>
                <w:rtl/>
              </w:rPr>
              <w:t xml:space="preserve">افق نقاط مسیر ذخیره‌شده</w:t>
            </w:r>
          </w:p>
        </w:tc>
        <w:tc>
          <w:tcPr>
            <w:tcW w:w="2600" w:type="dxa"/>
            <w:vAlign w:val="center"/>
          </w:tcPr>
          <w:p>
            <w:pPr>
              <w:pStyle w:val="InTableC"/>
            </w:pPr>
            <w:r>
              <w:rPr>
                <w:rFonts w:hint="cs"/>
                <w:rtl/>
              </w:rPr>
              <w:t xml:space="preserve">۴ گام × ۰٫۵ ثانیه</w:t>
            </w:r>
          </w:p>
        </w:tc>
        <w:tc>
          <w:tcPr>
            <w:tcW w:w="2700" w:type="dxa"/>
            <w:vAlign w:val="center"/>
          </w:tcPr>
          <w:p>
            <w:pPr>
              <w:pStyle w:val="InTableC"/>
            </w:pPr>
            <w:r>
              <w:rPr>
                <w:rFonts w:hint="cs"/>
                <w:rtl/>
              </w:rPr>
              <w:t xml:space="preserve">۸ گام × ۰٫۴۹۷ ثانیه</w:t>
            </w:r>
          </w:p>
        </w:tc>
      </w:tr>
      <w:tr>
        <w:tc>
          <w:tcPr>
            <w:tcW w:w="3400" w:type="dxa"/>
            <w:vAlign w:val="center"/>
          </w:tcPr>
          <w:p>
            <w:pPr>
              <w:pStyle w:val="InTableC"/>
            </w:pPr>
            <w:r>
              <w:rPr>
                <w:rFonts w:hint="cs"/>
                <w:rtl/>
              </w:rPr>
              <w:t xml:space="preserve">نقش در این فصل</w:t>
            </w:r>
          </w:p>
        </w:tc>
        <w:tc>
          <w:tcPr>
            <w:tcW w:w="2600" w:type="dxa"/>
            <w:vAlign w:val="center"/>
          </w:tcPr>
          <w:p>
            <w:pPr>
              <w:pStyle w:val="InTableC"/>
            </w:pPr>
            <w:r>
              <w:rPr>
                <w:rFonts w:hint="cs"/>
                <w:rtl/>
              </w:rPr>
              <w:t xml:space="preserve">آزمون‌های مقدماتی</w:t>
            </w:r>
          </w:p>
        </w:tc>
        <w:tc>
          <w:tcPr>
            <w:tcW w:w="2700" w:type="dxa"/>
            <w:vAlign w:val="center"/>
          </w:tcPr>
          <w:p>
            <w:pPr>
              <w:pStyle w:val="InTableC"/>
            </w:pPr>
            <w:r>
              <w:rPr>
                <w:rFonts w:hint="cs"/>
                <w:rtl/>
              </w:rPr>
              <w:t xml:space="preserve">آموزش مدل‌های گزارش‌شده</w:t>
            </w:r>
          </w:p>
        </w:tc>
      </w:tr>
    </w:tbl>
    <w:p/>
    <w:p>
      <w:r>
        <w:rPr>
          <w:rFonts w:hint="cs"/>
          <w:rtl/>
        </w:rPr>
        <w:t xml:space="preserve">مدل‌هایی که نتایج این فصل را می‌سازند روی مجموعه‌داده منتشرشده [11] آموزش دیده‌اند، نه روی جمع‌آوری این پژوهش. این تصمیم دو دلیل دارد. نخست، دلیلی تجربی: آموزش روی جمع‌آوری کوچک‌تر به بیش‌برازش می‌انجامید و خطای اعتبارسنجی در حدود دوره دوازدهم مسطح می‌شد در حالی که خطای آموزش همچنان کاهش می‌یافت، و افزودن داده‌افزایی آینه‌ای این عدد را تنها ۰٫۰۰۴ متر جابه‌جا کرد. یعنی قید غالب، حجم داده بود و نه منظم‌سازی. دوم، دلیلی روش‌شناختی: آموزش روی همان داده‌ای که خط‌مبناهای مرجع با آن آموزش دیده‌اند، یکی از سه عامل مزاحم را در مقایسه فصل حذف می‌کند (بخش ۵‌.‌۳).</w:t>
      </w:r>
    </w:p>
    <w:p>
      <w:r>
        <w:rPr>
          <w:rFonts w:hint="cs"/>
          <w:rtl/>
        </w:rPr>
        <w:t xml:space="preserve">جمع‌آوری این پژوهش کنار گذاشته نشده‌است: خبره ممتاز، خط لوله ثبت و برچسب‌گذاری، و آزمون‌های مقدماتی معماری همگی بر پایه آن انجام شدند و شرح خط لوله در پیوست ب آمده‌است. آنچه تغییر کرد، منبع داده آموزشی مدل‌های نهایی است.</w:t>
      </w:r>
    </w:p>
    <w:p>
      <w:r>
        <w:rPr>
          <w:rFonts w:hint="cs"/>
          <w:rtl/>
        </w:rPr>
        <w:t xml:space="preserve">تقسیم آموزش و اعتبارسنجی روی مجموعه منتشرشده در سطح شهر انجام می‌شود و نه در سطح قاب یا مسیر: قاب‌های متوالی یک مسیر تقریباً یکسان ‌اند و تقسیم در سطح قاب نشت اطلاعات می‌دهد. شهر </w:t>
      </w:r>
      <w:r>
        <w:t xml:space="preserve">Town05</w:t>
      </w:r>
      <w:r>
        <w:rPr>
          <w:rFonts w:hint="cs"/>
          <w:rtl/>
        </w:rPr>
        <w:t xml:space="preserve"> به‌طور کامل کنار گذاشته شد، بنابراین ۲۰۳٬۱۲۹ قاب از هفت شهر برای آموزش و ۵۵٬۷۳۷ قاب </w:t>
      </w:r>
      <w:r>
        <w:t xml:space="preserve">Town05</w:t>
      </w:r>
      <w:r>
        <w:rPr>
          <w:rFonts w:hint="cs"/>
          <w:rtl/>
        </w:rPr>
        <w:t xml:space="preserve"> برای اعتبارسنجی به کار می‌رود. اعتبارسنجی هر دوره روی زیرمجموعه‌ای فاصله‌گذاری‌شده از ۸۰۰۰ قاب انجام می‌شود؛ خطای معیار این زیرمجموعه حدود ۲٫۶ درصد است، یعنی یک مرتبه بزرگی کوچک‌تر از تغییری که باید تفکیک کند.</w:t>
      </w:r>
    </w:p>
    <w:p>
      <w:r>
        <w:rPr>
          <w:rFonts w:hint="cs"/>
          <w:rtl/>
        </w:rPr>
        <w:t xml:space="preserve">این تقسیم یک پیامد دارد که باید صریح گفته شود. محک </w:t>
      </w:r>
      <w:r>
        <w:t xml:space="preserve">Longest6</w:t>
      </w:r>
      <w:r>
        <w:rPr>
          <w:rFonts w:hint="cs"/>
          <w:rtl/>
        </w:rPr>
        <w:t xml:space="preserve"> روی شهرهای </w:t>
      </w:r>
      <w:r>
        <w:t xml:space="preserve">Town01</w:t>
      </w:r>
      <w:r>
        <w:rPr>
          <w:rFonts w:hint="cs"/>
          <w:rtl/>
        </w:rPr>
        <w:t xml:space="preserve"> تا </w:t>
      </w:r>
      <w:r>
        <w:t xml:space="preserve">Town06</w:t>
      </w:r>
      <w:r>
        <w:rPr>
          <w:rFonts w:hint="cs"/>
          <w:rtl/>
        </w:rPr>
        <w:t xml:space="preserve"> ارزیابی می‌کند، پس شش مسیر از سی‌وشش مسیر (۱۷ درصد) در شهری قرار دارند که مدل این پژوهش هرگز ندیده، در حالی که خط‌مبناهای مرجع روی همه هشت شهر آموزش دیده‌اند. این نامتقارنی به زیان روش پیشنهادی است و در پیوست د، امتیاز به تفکیک شهرهای دیده‌شده و دیده‌نشده جداگانه گزارش می‌شود.</w:t>
      </w:r>
    </w:p>
    <w:p>
      <w:pPr>
        <w:pStyle w:val="NormalB"/>
      </w:pPr>
      <w:r>
        <w:rPr>
          <w:rFonts w:hint="cs"/>
          <w:rtl/>
        </w:rPr>
        <w:t xml:space="preserve">ساخت برچسب نقاط مسیر</w:t>
      </w:r>
    </w:p>
    <w:p>
      <w:r>
        <w:rPr>
          <w:rFonts w:hint="cs"/>
          <w:rtl/>
        </w:rPr>
        <w:t xml:space="preserve">هدف نظارتی رمزگشا، نقاط مسیر آینده است و تعریف آن یک انتخاب روش‌شناختی است، نه یک جزئیات پیاده‌سازی. در این پژوهش برچسب هر قاب از موقعیتی ساخته می‌شود که خودرو «واقعاً به آن رسیده‌است»: برای قاب </w:t>
      </w:r>
      <m:oMath xmlns:m="http://schemas.openxmlformats.org/officeDocument/2006/math">
        <m:r>
          <m:t>i</m:t>
        </m:r>
      </m:oMath>
      <w:r>
        <w:rPr>
          <w:rFonts w:hint="cs"/>
          <w:rtl/>
        </w:rPr>
        <w:t xml:space="preserve">، موقعیت خودرو در </w:t>
      </w:r>
      <m:oMath xmlns:m="http://schemas.openxmlformats.org/officeDocument/2006/math">
        <m:r>
          <m:t>T</m:t>
        </m:r>
      </m:oMath>
      <w:r>
        <w:rPr>
          <w:rFonts w:hint="cs"/>
          <w:rtl/>
        </w:rPr>
        <w:t xml:space="preserve"> قاب بعدی همان مسیر، بیان‌شده در دستگاه مختصات قاب </w:t>
      </w:r>
      <m:oMath xmlns:m="http://schemas.openxmlformats.org/officeDocument/2006/math">
        <m:r>
          <m:t>i</m:t>
        </m:r>
      </m:oMath>
      <w:r>
        <w:rPr>
          <w:rFonts w:hint="cs"/>
          <w:rtl/>
        </w:rPr>
        <w:t xml:space="preserve">. سه پیامد این تعریف در پیوست ب شرح داده شده‌است؛ مهم‌ترین آنها این است که ترمزگیری به‌درستی نظارت می‌شود، زیرا پیش از چراغ قرمز موقعیت‌های آینده روی هم جمع می‌شوند. دو قید همراه این تعریف لازم است: قاب‌هایی که </w:t>
      </w:r>
      <m:oMath xmlns:m="http://schemas.openxmlformats.org/officeDocument/2006/math">
        <m:r>
          <m:t>T</m:t>
        </m:r>
      </m:oMath>
      <w:r>
        <w:rPr>
          <w:rFonts w:hint="cs"/>
          <w:rtl/>
        </w:rPr>
        <w:t xml:space="preserve"> قاب آینده در مسیرشان ندارند برچسب نمی‌گیرند و کنار گذاشته می‌شوند — تکرار آخرین موقعیت برای پرکردن، یک هدف ساکن جعلی می‌سازد — و درون توقف‌های طولانی تنها چند قاب ابتدایی و انتهایی نگه داشته می‌شود، زیرا قاب‌های میانی یک توقف با یکدیگر یکسان ‌اند و تنها لحظه تصمیم به ترمز و لحظه راه‌افتادن اطلاعات دارند.</w:t>
      </w:r>
    </w:p>
    <w:p>
      <w:r>
        <w:rPr>
          <w:rFonts w:hint="cs"/>
          <w:rtl/>
        </w:rPr>
        <w:t xml:space="preserve">مجموعه‌داده منتشرشده [11] بلوک نقاط مسیر خود را همراه هر قاب ذخیره می‌کند. چون مدل‌های این فصل روی آن مجموعه آموزش می‌بینند، این بلوک در برابر همان معیار سنجیده شد: مقایسه بلوک ذخیره‌شده با موقعیتی که خودرو در همان زمان‌های آینده واقعاً به آن رسید، به تفکیک مسیر و با گام اندازه‌گیری‌شده ۰٫۵ ثانیه. نتیجه یکنواخت نیست. روی قاب‌هایی که خودرو در حال حرکت است، دو کمیت تا ۰٫۰۸۰ متر بر هم منطبق‌اند. روی قاب‌هایی که خودرو ایستاده اختلاف به ۰٫۵۸۹ متر می‌رسد، و روی زیرمجموعه‌ای از آنها که خودرو بلافاصله پس از آن راه افتاده‌است، بلوک ذخیره‌شده جابه‌جایی دو ثانیه‌ای را ۰٫۸۲ متر گزارش می‌کند در حالی که خودرو ۴٫۵۶ متر پیموده است. در شهر </w:t>
      </w:r>
      <w:r>
        <w:t xml:space="preserve">Town05</w:t>
      </w:r>
      <w:r>
        <w:rPr>
          <w:rFonts w:hint="cs"/>
          <w:rtl/>
        </w:rPr>
        <w:t xml:space="preserve">، ۱۴٫۱ درصد قاب‌های ایستا از این نوع‌اند و تنها ۱۰ درصدشان برچسبی دارند که حرکتی را نشان دهد.</w:t>
      </w:r>
    </w:p>
    <w:p>
      <w:r>
        <w:rPr>
          <w:rFonts w:hint="cs"/>
          <w:rtl/>
        </w:rPr>
        <w:t xml:space="preserve">پیامد این وضعیت مستقیم است: شبکه‌ای که بر چنین هدفی برازش شود می‌آموزد در حالت ایستا «بخزد» و نه شتاب بگیرد، و این رفتار دقیقاً در شرایطی ظاهر می‌شود که سیاست باید از توقف خارج شود. نکته مهم‌تر آنکه معیار حلقه‌باز نمی‌تواند چنین چیزی را آشکار کند، زیرا همان هدف را مبنای سنجش قرار می‌دهد؛ سیاستی که هدف نادرست را بهتر بازتولید کند، خطای حلقه‌باز کمتری گزارش می‌کند.</w:t>
      </w:r>
    </w:p>
    <w:p>
      <w:r>
        <w:rPr>
          <w:rFonts w:hint="cs"/>
          <w:rtl/>
        </w:rPr>
        <w:t xml:space="preserve">بر این اساس، هدف نظارتی برای مجموعه منتشرشده نیز از موقعیت‌های محقق‌شده بازسازی شد. این بازسازی روی همه قاب‌ها اعمال می‌شود و نه تنها قاب‌های ایستا: تغییر تعریف بر پایه آستانه سرعت، دو معنای متفاوت از «نقطه مسیر» را در یک مجموعه آموزشی باقی می‌گذارد و در محل آستانه ناپیوستگی ایجاد می‌کند. اثر بازسازی در هر دو جهت راستی‌آزمایی شد، زیرا اصلاحی که قاب‌های متحرک را نیز جابه‌جا کند یک خطای شناخته‌شده را با خطایی اندازه‌گیری‌نشده معاوضه می‌کند: میانگین جابه‌جایی دو ثانیه‌ای روی قاب‌های متحرک از ۷٫۲۸ به ۷٫۰۶ متر تغییر می‌کند (عملاً بدون تغییر)، روی قاب‌های راه‌افتادن از ۰٫۷۰ به ۳٫۷۲ متر افزایش می‌یابد، و روی قاب‌هایی که خودرو باید متوقف بماند از ۰٫۱۰ به ۰٫۰۵ متر می‌رسد؛ یعنی توقف پشت چراغ قرمز حفظ می‌شود.</w:t>
      </w:r>
    </w:p>
    <w:p>
      <w:r>
        <w:rPr>
          <w:rFonts w:hint="cs"/>
          <w:rtl/>
        </w:rPr>
        <w:t xml:space="preserve">دو ملاحظه در تفسیر این بخش لازم است. نخست، آنچه گزارش شد یک اندازه‌گیری روی بلوک ذخیره‌شده است و نه داوری درباره اعتبار نتایج منتشرشده مرجع؛ عامل‌های مرجع سازوکارهای کنترلی جداگانه‌ای برای خروج از توقف دارند و بررسی اینکه آن سازوکارها تا چه اندازه این موضوع را جبران می‌کنند خارج از دامنه این پژوهش است. دوم، جمع‌آوری این پژوهش این وضعیت را ندارد: سنجش همان معیار روی ۸٬۴۳۸ قاب برچسب‌خورده، انطباق کامل برچسب با موقعیت محقق‌شده را نشان می‌دهد و میانگین جابه‌جایی قاب‌های راه‌افتادن ۳٫۷۳ متر است؛ همچنین به‌دلیل رقیق‌سازی توقف، سهم قاب‌های ایستا ۱۵٫۸ درصد است و ۳۵٫۸ درصد آنها از نوع راه‌افتادن‌اند. بنابراین نتایج مطالعه فروگذاری (بخش ۵‌.‌۵) که بر پایه جمع‌آوری این پژوهش به‌دست آمده‌اند از این موضوع اثر نمی‌پذیرند.</w:t>
      </w:r>
    </w:p>
    <w:p>
      <w:r>
        <w:rPr>
          <w:rFonts w:hint="cs"/>
          <w:rtl/>
        </w:rPr>
        <w:t xml:space="preserve">مدل با چارچوب </w:t>
      </w:r>
      <w:r>
        <w:t xml:space="preserve">PyTorch</w:t>
      </w:r>
      <w:r>
        <w:rPr>
          <w:rFonts w:hint="cs"/>
          <w:rtl/>
        </w:rPr>
        <w:t xml:space="preserve"> نسخه ۲٫۴٫۱ پیاده‌سازی و روی یک شتاب‌دهنده </w:t>
      </w:r>
      <w:r>
        <w:t xml:space="preserve">NVIDIA A100</w:t>
      </w:r>
      <w:r>
        <w:rPr>
          <w:rFonts w:hint="cs"/>
          <w:rtl/>
        </w:rPr>
        <w:t xml:space="preserve"> با ۴۰ گیگابایت حافظه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 مؤثر</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اندازه دسته فیزیکی × انباشت گرادیان</w:t>
            </w:r>
          </w:p>
        </w:tc>
        <w:tc>
          <w:tcPr>
            <w:tcW w:w="4400" w:type="dxa"/>
            <w:vAlign w:val="center"/>
          </w:tcPr>
          <w:p>
            <w:pPr>
              <w:pStyle w:val="InTableC"/>
            </w:pPr>
            <w:r>
              <w:rPr>
                <w:rFonts w:hint="cs"/>
                <w:rtl/>
              </w:rPr>
              <w:t xml:space="preserve">۳۲ × ۴</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۲۵</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احتمال بازتاب آینه‌ای</w:t>
            </w:r>
          </w:p>
        </w:tc>
        <w:tc>
          <w:tcPr>
            <w:tcW w:w="4400" w:type="dxa"/>
            <w:vAlign w:val="center"/>
          </w:tcPr>
          <w:p>
            <w:pPr>
              <w:pStyle w:val="InTableC"/>
            </w:pPr>
            <w:r>
              <w:rPr>
                <w:rFonts w:hint="cs"/>
                <w:rtl/>
              </w:rPr>
              <w:t xml:space="preserve">۰٫۵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معیار انتخاب وزن‌ها</w:t>
            </w:r>
          </w:p>
        </w:tc>
        <w:tc>
          <w:tcPr>
            <w:tcW w:w="4400" w:type="dxa"/>
            <w:vAlign w:val="center"/>
          </w:tcPr>
          <w:p>
            <w:pPr>
              <w:pStyle w:val="InTableC"/>
            </w:pPr>
            <w:r>
              <w:rPr>
                <w:rFonts w:hint="cs"/>
                <w:rtl/>
              </w:rPr>
              <w:t xml:space="preserve">خطای نقاط مسیر اعتبارسنجی</w:t>
            </w:r>
          </w:p>
        </w:tc>
      </w:tr>
      <w:tr>
        <w:tc>
          <w:tcPr>
            <w:tcW w:w="4300" w:type="dxa"/>
            <w:vAlign w:val="center"/>
          </w:tcPr>
          <w:p>
            <w:pPr>
              <w:pStyle w:val="InTableC"/>
            </w:pPr>
            <w:r>
              <w:rPr>
                <w:rFonts w:hint="cs"/>
                <w:rtl/>
              </w:rPr>
              <w:t xml:space="preserve">چارچوب</w:t>
            </w:r>
          </w:p>
        </w:tc>
        <w:tc>
          <w:tcPr>
            <w:tcW w:w="4400" w:type="dxa"/>
            <w:vAlign w:val="center"/>
          </w:tcPr>
          <w:p>
            <w:pPr>
              <w:pStyle w:val="InTableC"/>
            </w:pPr>
            <w:r>
              <w:t xml:space="preserve">PyTorch 2.4.1 / CUDA 12.1</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۱ × </w:t>
            </w:r>
            <w:r>
              <w:t xml:space="preserve">NVIDIA A100-SXM4</w:t>
            </w:r>
            <w:r>
              <w:rPr>
                <w:rFonts w:hint="cs"/>
                <w:rtl/>
              </w:rPr>
              <w:t xml:space="preserve"> (۴۰ گیگابایت)</w:t>
            </w:r>
          </w:p>
        </w:tc>
      </w:tr>
      <w:tr>
        <w:tc>
          <w:tcPr>
            <w:tcW w:w="4300" w:type="dxa"/>
            <w:vAlign w:val="center"/>
          </w:tcPr>
          <w:p>
            <w:pPr>
              <w:pStyle w:val="InTableC"/>
            </w:pPr>
            <w:r>
              <w:rPr>
                <w:rFonts w:hint="cs"/>
                <w:rtl/>
              </w:rPr>
              <w:t xml:space="preserve">زمان هر آموزش</w:t>
            </w:r>
          </w:p>
        </w:tc>
        <w:tc>
          <w:tcPr>
            <w:tcW w:w="4400" w:type="dxa"/>
            <w:vAlign w:val="center"/>
          </w:tcPr>
          <w:p>
            <w:pPr>
              <w:pStyle w:val="InTableC"/>
            </w:pPr>
            <w:r>
              <w:rPr>
                <w:rFonts w:hint="cs"/>
                <w:rtl/>
              </w:rPr>
              <w:t xml:space="preserve">≈ ۱۶ تا ۲۰ ساعت</w:t>
            </w:r>
          </w:p>
        </w:tc>
      </w:tr>
    </w:tbl>
    <w:p/>
    <w:p>
      <w:r>
        <w:rPr>
          <w:rFonts w:hint="cs"/>
          <w:rtl/>
        </w:rPr>
        <w:t xml:space="preserve">دو مورد از این جدول توضیح لازم دارند. اندازه دسته مؤثر ۱۲۸ است اما به‌صورت چهار گام انباشت گرادیان روی دسته‌های فیزیکی ۳۲تایی به دست می‌آید، زیرا اوج حافظه با دسته واقعی ۱۲۸ برابر ۳۶٫۴ گیگابایت از ۳۹٫۵ گیگابایت کارت است و خوانش پرسش‌محور در آن اندازه اصلاً جا نمی‌شود. هم‌ارزی این دو مسیر به‌صورت عددی راستی‌آزمایی شده‌است: نسبت نُرم گرادیان ۱٫۰۰۰۰۰۱ و شباهت کسینوسی ۱٫۰۰۰۰۰۰ روی هر ۲۴۴ تنسور پارامتر. نکته دوم آنکه انتخاب وزن‌های نهایی بر خطای نقاط مسیر اعتبارسنجی انجام می‌شود و نه بر زیان وزن‌دهی‌شده کل؛ زیان کل شامل جملات </w:t>
      </w:r>
      <m:oMath xmlns:m="http://schemas.openxmlformats.org/officeDocument/2006/math">
        <m:r>
          <m:rPr>
            <m:sty m:val="p"/>
          </m:rPr>
          <m:t>log</m:t>
        </m:r>
        <m:r>
          <m:t>σ</m:t>
        </m:r>
      </m:oMath>
      <w:r>
        <w:rPr>
          <w:rFonts w:hint="cs"/>
          <w:rtl/>
        </w:rPr>
        <w:t xml:space="preserve"> و زیان‌های کمکی است و مدل می‌تواند آن را با افزایش اطمینان خود کاهش دهد بدون آنکه مسیر بهتری پیش‌بینی کند.</w:t>
      </w:r>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NormalB"/>
      </w:pPr>
      <w:r>
        <w:rPr>
          <w:rFonts w:hint="cs"/>
          <w:rtl/>
        </w:rPr>
        <w:t xml:space="preserve">پیکربندی حسگرها</w:t>
      </w:r>
    </w:p>
    <w:p>
      <w:r>
        <w:rPr>
          <w:rFonts w:hint="cs"/>
          <w:rtl/>
        </w:rPr>
        <w:t xml:space="preserve">پیکربندی حسگر عامل در زمان اجرا باید دقیقاً همان چیدمانی باشد که داده آموزشی با آن ثبت شده‌است؛ در غیر این صورت شبکه در زمان رانندگی تصویری می‌بیند که هرگز نمونه‌ای از آن ندیده. مشخصات در جدول ‏5‏.‏3 آمده و هر سطر آن در برابر داده منتشرشده سنجیده شده‌است، نه از روی مستندات استنتاج.</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پیکربندی حسگرها، یکسان در ثبت داده و در ارزیابی</w:t>
      </w:r>
    </w:p>
    <w:tbl>
      <w:tblPr>
        <w:tblStyle w:val="TableStyle"/>
        <w:bidiVisual/>
        <w:tblW w:w="0" w:type="auto"/>
        <w:jc w:val="center"/>
        <w:tblLook w:val="0420" w:firstRow="1" w:lastRow="0" w:firstColumn="0" w:lastColumn="0" w:noHBand="1" w:noVBand="1"/>
      </w:tblPr>
      <w:tblGrid>
        <w:gridCol w:w="2300"/>
        <w:gridCol w:w="4500"/>
        <w:gridCol w:w="1900"/>
      </w:tblGrid>
      <w:tr>
        <w:trPr>
          <w:cnfStyle w:val="100000000000"/>
          <w:tblHeader/>
        </w:trPr>
        <w:tc>
          <w:tcPr>
            <w:tcW w:w="2300" w:type="dxa"/>
            <w:vAlign w:val="center"/>
          </w:tcPr>
          <w:p>
            <w:pPr>
              <w:pStyle w:val="InTableCB"/>
            </w:pPr>
            <w:r>
              <w:rPr>
                <w:rFonts w:hint="cs"/>
                <w:rtl/>
              </w:rPr>
              <w:t xml:space="preserve">حسگر</w:t>
            </w:r>
          </w:p>
        </w:tc>
        <w:tc>
          <w:tcPr>
            <w:tcW w:w="4500" w:type="dxa"/>
            <w:vAlign w:val="center"/>
          </w:tcPr>
          <w:p>
            <w:pPr>
              <w:pStyle w:val="InTableCB"/>
            </w:pPr>
            <w:r>
              <w:rPr>
                <w:rFonts w:hint="cs"/>
                <w:rtl/>
              </w:rPr>
              <w:t xml:space="preserve">مشخصات</w:t>
            </w:r>
          </w:p>
        </w:tc>
        <w:tc>
          <w:tcPr>
            <w:tcW w:w="19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300" w:type="dxa"/>
            <w:vAlign w:val="center"/>
          </w:tcPr>
          <w:p>
            <w:pPr>
              <w:pStyle w:val="InTableC"/>
            </w:pPr>
            <w:r>
              <w:rPr>
                <w:rFonts w:hint="cs"/>
                <w:rtl/>
              </w:rPr>
              <w:t xml:space="preserve">سه دوربین </w:t>
            </w:r>
            <w:r>
              <w:t xml:space="preserve">RGB</w:t>
            </w:r>
          </w:p>
        </w:tc>
        <w:tc>
          <w:tcPr>
            <w:tcW w:w="4500" w:type="dxa"/>
            <w:vAlign w:val="center"/>
          </w:tcPr>
          <w:p>
            <w:pPr>
              <w:pStyle w:val="InTableC"/>
            </w:pPr>
            <w:r>
              <w:rPr>
                <w:rFonts w:hint="cs"/>
                <w:rtl/>
              </w:rPr>
              <w:t xml:space="preserve">۳۲۰×۱۶۰، میدان دید ۶۰°، سمت ۰° و ∓۶۰°</w:t>
            </w:r>
          </w:p>
        </w:tc>
        <w:tc>
          <w:tcPr>
            <w:tcW w:w="1900" w:type="dxa"/>
            <w:vAlign w:val="center"/>
          </w:tcPr>
          <w:p>
            <w:pPr>
              <w:pStyle w:val="InTableC"/>
            </w:pPr>
            <w:r>
              <w:rPr>
                <w:rFonts w:hint="cs"/>
                <w:rtl/>
              </w:rPr>
              <w:t xml:space="preserve">۱٫۳ ، ۲٫۳</w:t>
            </w:r>
          </w:p>
        </w:tc>
      </w:tr>
      <w:tr>
        <w:tc>
          <w:tcPr>
            <w:tcW w:w="2300" w:type="dxa"/>
            <w:vAlign w:val="center"/>
          </w:tcPr>
          <w:p>
            <w:pPr>
              <w:pStyle w:val="InTableC"/>
            </w:pPr>
            <w:r>
              <w:rPr>
                <w:rFonts w:hint="cs"/>
                <w:rtl/>
              </w:rPr>
              <w:t xml:space="preserve">نوار الحاقی</w:t>
            </w:r>
          </w:p>
        </w:tc>
        <w:tc>
          <w:tcPr>
            <w:tcW w:w="4500" w:type="dxa"/>
            <w:vAlign w:val="center"/>
          </w:tcPr>
          <w:p>
            <w:pPr>
              <w:pStyle w:val="InTableC"/>
            </w:pPr>
            <w:r>
              <w:rPr>
                <w:rFonts w:hint="cs"/>
                <w:rtl/>
              </w:rPr>
              <w:t xml:space="preserve">۹۶۰×۱۶۰ (۱۸۰°)، برش مرکزی به ۷۰۴×۱۶۰ (۱۳۲°)</w:t>
            </w:r>
          </w:p>
        </w:tc>
        <w:tc>
          <w:tcPr>
            <w:tcW w:w="1900" w:type="dxa"/>
            <w:vAlign w:val="center"/>
          </w:tcPr>
          <w:p>
            <w:pPr>
              <w:pStyle w:val="InTableC"/>
            </w:pPr>
            <w:r>
              <w:rPr>
                <w:rFonts w:hint="cs"/>
                <w:rtl/>
              </w:rPr>
              <w:t xml:space="preserve">—</w:t>
            </w:r>
          </w:p>
        </w:tc>
      </w:tr>
      <w:tr>
        <w:tc>
          <w:tcPr>
            <w:tcW w:w="2300" w:type="dxa"/>
            <w:vAlign w:val="center"/>
          </w:tcPr>
          <w:p>
            <w:pPr>
              <w:pStyle w:val="InTableC"/>
            </w:pPr>
            <w:r>
              <w:rPr>
                <w:rFonts w:hint="cs"/>
                <w:rtl/>
              </w:rPr>
              <w:t xml:space="preserve">لیدار</w:t>
            </w:r>
          </w:p>
        </w:tc>
        <w:tc>
          <w:tcPr>
            <w:tcW w:w="4500" w:type="dxa"/>
            <w:vAlign w:val="center"/>
          </w:tcPr>
          <w:p>
            <w:pPr>
              <w:pStyle w:val="InTableC"/>
            </w:pPr>
            <w:r>
              <w:rPr>
                <w:rFonts w:hint="cs"/>
                <w:rtl/>
              </w:rPr>
              <w:t xml:space="preserve">۶۴ خط، برد ۸۵ متر، ۶۰۰ هزار نقطه بر ثانیه، ۱۰ هرتز</w:t>
            </w:r>
          </w:p>
        </w:tc>
        <w:tc>
          <w:tcPr>
            <w:tcW w:w="1900" w:type="dxa"/>
            <w:vAlign w:val="center"/>
          </w:tcPr>
          <w:p>
            <w:pPr>
              <w:pStyle w:val="InTableC"/>
            </w:pPr>
            <w:r>
              <w:rPr>
                <w:rFonts w:hint="cs"/>
                <w:rtl/>
              </w:rPr>
              <w:t xml:space="preserve">۰٫۰ ، ۲٫۵</w:t>
            </w:r>
          </w:p>
        </w:tc>
      </w:tr>
      <w:tr>
        <w:tc>
          <w:tcPr>
            <w:tcW w:w="2300" w:type="dxa"/>
            <w:vAlign w:val="center"/>
          </w:tcPr>
          <w:p>
            <w:pPr>
              <w:pStyle w:val="InTableC"/>
            </w:pPr>
            <w:r>
              <w:rPr>
                <w:rFonts w:hint="cs"/>
                <w:rtl/>
              </w:rPr>
              <w:t xml:space="preserve">سرعت‌سنج و </w:t>
            </w:r>
            <w:r>
              <w:t xml:space="preserve">IMU</w:t>
            </w:r>
          </w:p>
        </w:tc>
        <w:tc>
          <w:tcPr>
            <w:tcW w:w="4500" w:type="dxa"/>
            <w:vAlign w:val="center"/>
          </w:tcPr>
          <w:p>
            <w:pPr>
              <w:pStyle w:val="InTableC"/>
            </w:pPr>
            <w:r>
              <w:rPr>
                <w:rFonts w:hint="cs"/>
                <w:rtl/>
              </w:rPr>
              <w:t xml:space="preserve">نرخ ۲۰ هرتز، هم‌گام با گام شبیه‌ساز</w:t>
            </w:r>
          </w:p>
        </w:tc>
        <w:tc>
          <w:tcPr>
            <w:tcW w:w="1900" w:type="dxa"/>
            <w:vAlign w:val="center"/>
          </w:tcPr>
          <w:p>
            <w:pPr>
              <w:pStyle w:val="InTableC"/>
            </w:pPr>
            <w:r>
              <w:rPr>
                <w:rFonts w:hint="cs"/>
                <w:rtl/>
              </w:rPr>
              <w:t xml:space="preserve">—</w:t>
            </w:r>
          </w:p>
        </w:tc>
      </w:tr>
      <w:tr>
        <w:tc>
          <w:tcPr>
            <w:tcW w:w="2300" w:type="dxa"/>
            <w:vAlign w:val="center"/>
          </w:tcPr>
          <w:p>
            <w:pPr>
              <w:pStyle w:val="InTableC"/>
            </w:pPr>
            <w:r>
              <w:t xml:space="preserve">GNSS</w:t>
            </w:r>
          </w:p>
        </w:tc>
        <w:tc>
          <w:tcPr>
            <w:tcW w:w="4500" w:type="dxa"/>
            <w:vAlign w:val="center"/>
          </w:tcPr>
          <w:p>
            <w:pPr>
              <w:pStyle w:val="InTableC"/>
            </w:pPr>
            <w:r>
              <w:rPr>
                <w:rFonts w:hint="cs"/>
                <w:rtl/>
              </w:rPr>
              <w:t xml:space="preserve">برای هم‌ترازی مسیر برنامه‌ریزی‌شده</w:t>
            </w:r>
          </w:p>
        </w:tc>
        <w:tc>
          <w:tcPr>
            <w:tcW w:w="1900" w:type="dxa"/>
            <w:vAlign w:val="center"/>
          </w:tcPr>
          <w:p>
            <w:pPr>
              <w:pStyle w:val="InTableC"/>
            </w:pPr>
            <w:r>
              <w:rPr>
                <w:rFonts w:hint="cs"/>
                <w:rtl/>
              </w:rPr>
              <w:t xml:space="preserve">—</w:t>
            </w:r>
          </w:p>
        </w:tc>
      </w:tr>
    </w:tbl>
    <w:p/>
    <w:p>
      <w:r>
        <w:rPr>
          <w:rFonts w:hint="cs"/>
          <w:rtl/>
        </w:rPr>
        <w:t xml:space="preserve">انتخاب سمت ∓۶۰ درجه برای دوربین‌های کناری با میدان دید ۶۰ درجه تصادفی نیست: در این چیدمان سه هرم دید دقیقاً کنار هم می‌نشینند، بدون هم‌پوشانی که نیاز به برش داشته باشد و بدون شکافی که پانوراما را پاره کند. نوار الحاقی ۹۶۰ پیکسلی یک بازه پیوسته ۱۸۰ درجه است و برش مرکزی ۷۰۴ پیکسلی آن، بازه ۱۳۲ درجه‌ای متقارن حول محور حرکت را می‌دهد. تقارن این چیدمان حول محور جلو همان چیزی است که بازتاب آینه‌ای را به یک نمونه دقیق تبدیل می‌کند و نه یک تقریب.</w:t>
      </w:r>
    </w:p>
    <w:p>
      <w:pPr>
        <w:pStyle w:val="Heading2"/>
      </w:pPr>
      <w:r>
        <w:rPr>
          <w:rFonts w:hint="cs"/>
          <w:rtl/>
        </w:rPr>
        <w:t xml:space="preserve">معیارهای ارزیابی</w:t>
      </w:r>
    </w:p>
    <w:p>
      <w:r>
        <w:rPr>
          <w:rFonts w:hint="cs"/>
          <w:rtl/>
        </w:rPr>
        <w:t xml:space="preserve">ارزیابی حلقه‌بسته روی مجموعه مسیرهای </w:t>
      </w:r>
      <w:r>
        <w:t xml:space="preserve">Longest6</w:t>
      </w:r>
      <w:r>
        <w:rPr>
          <w:rFonts w:hint="cs"/>
          <w:rtl/>
        </w:rPr>
        <w:t xml:space="preserve"> [11] انجام می‌شود که شامل ۳۶ مسیر طولانی شهری است، شش مسیر در هر یک از شهرهای </w:t>
      </w:r>
      <w:r>
        <w:t xml:space="preserve">Town01</w:t>
      </w:r>
      <w:r>
        <w:rPr>
          <w:rFonts w:hint="cs"/>
          <w:rtl/>
        </w:rPr>
        <w:t xml:space="preserve"> تا </w:t>
      </w:r>
      <w:r>
        <w:t xml:space="preserve">Town06.</w:t>
      </w:r>
      <w:r>
        <w:rPr>
          <w:rFonts w:hint="cs"/>
          <w:rtl/>
        </w:rPr>
        <w:t xml:space="preserve">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برابرند با: برخورد با عابر ۰٫۵۰، برخورد با خودرو ۰٫۶۰، برخورد با جسم ثابت ۰٫۶۵ و عبور از چراغ قرمز ۰٫۷۰.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NormalB"/>
      </w:pPr>
      <w:r>
        <w:rPr>
          <w:rFonts w:hint="cs"/>
          <w:rtl/>
        </w:rPr>
        <w:t xml:space="preserve">پروتکل </w:t>
      </w:r>
      <w:r>
        <w:t xml:space="preserve">Longest6</w:t>
      </w:r>
      <w:r>
        <w:rPr>
          <w:rFonts w:hint="cs"/>
          <w:rtl/>
        </w:rPr>
        <w:t xml:space="preserve"> و تفاوت آن با جدول رده‌بندی رسمی</w:t>
      </w:r>
    </w:p>
    <w:p>
      <w:r>
        <w:t xml:space="preserve">Longest6</w:t>
      </w:r>
      <w:r>
        <w:rPr>
          <w:rFonts w:hint="cs"/>
          <w:rtl/>
        </w:rPr>
        <w:t xml:space="preserve"> پروتکل رسمی جدول رده‌بندی </w:t>
      </w:r>
      <w:r>
        <w:t xml:space="preserve">CARLA</w:t>
      </w:r>
      <w:r>
        <w:rPr>
          <w:rFonts w:hint="cs"/>
          <w:rtl/>
        </w:rPr>
        <w:t xml:space="preserve"> نیست و این تمایز برای هر عددی که با اعداد منتشرشده مقایسه شود تعیین‌کننده است. مرجع [11] نسخه‌ای محلی از ارزیاب را منتشر کرده که در دو چیز عمداً تفاوت دارد:</w:t>
      </w:r>
    </w:p>
    <w:p>
      <w:r>
        <w:rPr>
          <w:rFonts w:hint="cs"/>
          <w:rtl/>
        </w:rPr>
        <w:t xml:space="preserve">نخست، تراکم ترافیک. ارزیاب رسمی به‌ازای هر شهر تعداد ثابتی عامل پس‌زمینه تولید می‌کند — ۱۳۰ خودرو در </w:t>
      </w:r>
      <w:r>
        <w:t xml:space="preserve">Town01</w:t>
      </w:r>
      <w:r>
        <w:rPr>
          <w:rFonts w:hint="cs"/>
          <w:rtl/>
        </w:rPr>
        <w:t xml:space="preserve">، ۱۲۰ در </w:t>
      </w:r>
      <w:r>
        <w:t xml:space="preserve">Town05</w:t>
      </w:r>
      <w:r>
        <w:rPr>
          <w:rFonts w:hint="cs"/>
          <w:rtl/>
        </w:rPr>
        <w:t xml:space="preserve"> و ۱۹۰ در </w:t>
      </w:r>
      <w:r>
        <w:t xml:space="preserve">Town04</w:t>
      </w:r>
      <w:r>
        <w:rPr>
          <w:rFonts w:hint="cs"/>
          <w:rtl/>
        </w:rPr>
        <w:t xml:space="preserve"> — در حالی که </w:t>
      </w:r>
      <w:r>
        <w:t xml:space="preserve">Longest6</w:t>
      </w:r>
      <w:r>
        <w:rPr>
          <w:rFonts w:hint="cs"/>
          <w:rtl/>
        </w:rPr>
        <w:t xml:space="preserve"> همه نقاط تولد شهر را پر می‌کند و در عمل به سه تا چهار برابر این تعداد می‌رسد. دوم، جریمه علامت ایست در این پروتکل غیرفعال است.</w:t>
      </w:r>
    </w:p>
    <w:p>
      <w:r>
        <w:rPr>
          <w:rFonts w:hint="cs"/>
          <w:rtl/>
        </w:rPr>
        <w:t xml:space="preserve">این دو تفاوت در دو جهت مخالف اثر می‌گذارند: ترافیک متراکم‌تر امتیاز را پایین می‌آورد و حذف جریمه ایست آن را بالا می‌برد. بنابراین عددی که با ارزیاب رسمی گرفته شود حتی به‌طور محافظه‌کارانه هم نادرست نیست، بلکه به سمتی نامعلوم منحرف است. تمام ارزیابی‌های این فصل با ارزیاب </w:t>
      </w:r>
      <w:r>
        <w:t xml:space="preserve">Longest6</w:t>
      </w:r>
      <w:r>
        <w:rPr>
          <w:rFonts w:hint="cs"/>
          <w:rtl/>
        </w:rPr>
        <w:t xml:space="preserve"> انجام شده‌اند.</w:t>
      </w:r>
    </w:p>
    <w:p>
      <w:pPr>
        <w:pStyle w:val="NormalB"/>
      </w:pPr>
      <w:r>
        <w:rPr>
          <w:rFonts w:hint="cs"/>
          <w:rtl/>
        </w:rPr>
        <w:t xml:space="preserve">اعتبارسنجی زنجیره ارزیابی</w:t>
      </w:r>
    </w:p>
    <w:p>
      <w:r>
        <w:rPr>
          <w:rFonts w:hint="cs"/>
          <w:rtl/>
        </w:rPr>
        <w:t xml:space="preserve">امتیاز رانندگی حاصل یک زنجیره طولانی است — تعریف مسیرها، راه‌اندازهای سناریو، عامل‌های ترافیکی، آشکارسازهای تخلف و حساب نهایی — و خطا در هر حلقه آن عددی معتبر اما نادرست تولید می‌کند. برای آنکه اختلاف اعداد این فصل به تفاوت روش‌ها نسبت داده شود و نه به تفاوت ابزار اندازه‌گیری، عامل ممتاز مرجع [11]، که سازندگانش امتیاز آن را روی همین محک منتشر کرده‌اند، از درون زنجیره این پژوهش اجرا شد. نتیجه در جدول ‏5‏.‏4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عامل ممتاز مرجع، اجراشده در زنجیره ارزیابی این پژوهش (۳۶ مسیر)</w:t>
      </w:r>
    </w:p>
    <w:tbl>
      <w:tblPr>
        <w:tblStyle w:val="TableStyle"/>
        <w:bidiVisual/>
        <w:tblW w:w="0" w:type="auto"/>
        <w:jc w:val="center"/>
        <w:tblLook w:val="0420" w:firstRow="1" w:lastRow="0" w:firstColumn="0" w:lastColumn="0" w:noHBand="1" w:noVBand="1"/>
      </w:tblPr>
      <w:tblGrid>
        <w:gridCol w:w="3200"/>
        <w:gridCol w:w="2600"/>
        <w:gridCol w:w="2900"/>
      </w:tblGrid>
      <w:tr>
        <w:trPr>
          <w:cnfStyle w:val="100000000000"/>
          <w:tblHeader/>
        </w:trPr>
        <w:tc>
          <w:tcPr>
            <w:tcW w:w="3200" w:type="dxa"/>
            <w:vAlign w:val="center"/>
          </w:tcPr>
          <w:p>
            <w:pPr>
              <w:pStyle w:val="InTableCB"/>
            </w:pPr>
            <w:r>
              <w:rPr>
                <w:rFonts w:hint="cs"/>
                <w:rtl/>
              </w:rPr>
              <w:t xml:space="preserve">معیار</w:t>
            </w:r>
          </w:p>
        </w:tc>
        <w:tc>
          <w:tcPr>
            <w:tcW w:w="2600" w:type="dxa"/>
            <w:vAlign w:val="center"/>
          </w:tcPr>
          <w:p>
            <w:pPr>
              <w:pStyle w:val="InTableCB"/>
            </w:pPr>
            <w:r>
              <w:rPr>
                <w:rFonts w:hint="cs"/>
                <w:rtl/>
              </w:rPr>
              <w:t xml:space="preserve">این پژوهش</w:t>
            </w:r>
          </w:p>
        </w:tc>
        <w:tc>
          <w:tcPr>
            <w:tcW w:w="2900" w:type="dxa"/>
            <w:vAlign w:val="center"/>
          </w:tcPr>
          <w:p>
            <w:pPr>
              <w:pStyle w:val="InTableCB"/>
            </w:pPr>
            <w:r>
              <w:rPr>
                <w:rFonts w:hint="cs"/>
                <w:rtl/>
              </w:rPr>
              <w:t xml:space="preserve">منتشرشده [11]</w:t>
            </w:r>
          </w:p>
        </w:tc>
      </w:tr>
      <w:tr>
        <w:tc>
          <w:tcPr>
            <w:tcW w:w="3200" w:type="dxa"/>
            <w:vAlign w:val="center"/>
          </w:tcPr>
          <w:p>
            <w:pPr>
              <w:pStyle w:val="InTableC"/>
            </w:pPr>
            <w:r>
              <w:rPr>
                <w:rFonts w:hint="cs"/>
                <w:rtl/>
              </w:rPr>
              <w:t xml:space="preserve">ضریب تخلفات </w:t>
            </w:r>
            <w:r>
              <w:t xml:space="preserve">IS</w:t>
            </w:r>
          </w:p>
        </w:tc>
        <w:tc>
          <w:tcPr>
            <w:tcW w:w="2600" w:type="dxa"/>
            <w:vAlign w:val="center"/>
          </w:tcPr>
          <w:p>
            <w:pPr>
              <w:pStyle w:val="InTableC"/>
            </w:pPr>
            <w:r>
              <w:rPr>
                <w:rFonts w:hint="cs"/>
                <w:rtl/>
              </w:rPr>
              <w:t xml:space="preserve">۰٫۸۸۴</w:t>
            </w:r>
          </w:p>
        </w:tc>
        <w:tc>
          <w:tcPr>
            <w:tcW w:w="2900" w:type="dxa"/>
            <w:vAlign w:val="center"/>
          </w:tcPr>
          <w:p>
            <w:pPr>
              <w:pStyle w:val="InTableC"/>
            </w:pPr>
            <w:r>
              <w:rPr>
                <w:rFonts w:hint="cs"/>
                <w:rtl/>
              </w:rPr>
              <w:t xml:space="preserve">۰٫۸۹</w:t>
            </w:r>
          </w:p>
        </w:tc>
      </w:tr>
      <w:tr>
        <w:tc>
          <w:tcPr>
            <w:tcW w:w="3200" w:type="dxa"/>
            <w:vAlign w:val="center"/>
          </w:tcPr>
          <w:p>
            <w:pPr>
              <w:pStyle w:val="InTableC"/>
            </w:pPr>
            <w:r>
              <w:rPr>
                <w:rFonts w:hint="cs"/>
                <w:rtl/>
              </w:rPr>
              <w:t xml:space="preserve">نرخ تکمیل مسیر </w:t>
            </w:r>
            <w:r>
              <w:t xml:space="preserve">RC</w:t>
            </w:r>
          </w:p>
        </w:tc>
        <w:tc>
          <w:tcPr>
            <w:tcW w:w="2600" w:type="dxa"/>
            <w:vAlign w:val="center"/>
          </w:tcPr>
          <w:p>
            <w:pPr>
              <w:pStyle w:val="InTableC"/>
            </w:pPr>
            <w:r>
              <w:rPr>
                <w:rFonts w:hint="cs"/>
                <w:rtl/>
              </w:rPr>
              <w:t xml:space="preserve">۷۳٫۳۸</w:t>
            </w:r>
          </w:p>
        </w:tc>
        <w:tc>
          <w:tcPr>
            <w:tcW w:w="2900" w:type="dxa"/>
            <w:vAlign w:val="center"/>
          </w:tcPr>
          <w:p>
            <w:pPr>
              <w:pStyle w:val="InTableC"/>
            </w:pPr>
            <w:r>
              <w:rPr>
                <w:rFonts w:hint="cs"/>
                <w:rtl/>
              </w:rPr>
              <w:t xml:space="preserve">۸۲٫۷۱</w:t>
            </w:r>
          </w:p>
        </w:tc>
      </w:tr>
      <w:tr>
        <w:tc>
          <w:tcPr>
            <w:tcW w:w="3200" w:type="dxa"/>
            <w:vAlign w:val="center"/>
          </w:tcPr>
          <w:p>
            <w:pPr>
              <w:pStyle w:val="InTableC"/>
            </w:pPr>
            <w:r>
              <w:rPr>
                <w:rFonts w:hint="cs"/>
                <w:rtl/>
              </w:rPr>
              <w:t xml:space="preserve">امتیاز رانندگی </w:t>
            </w:r>
            <w:r>
              <w:t xml:space="preserve">DS</w:t>
            </w:r>
          </w:p>
        </w:tc>
        <w:tc>
          <w:tcPr>
            <w:tcW w:w="2600" w:type="dxa"/>
            <w:vAlign w:val="center"/>
          </w:tcPr>
          <w:p>
            <w:pPr>
              <w:pStyle w:val="InTableC"/>
            </w:pPr>
            <w:r>
              <w:rPr>
                <w:rFonts w:hint="cs"/>
                <w:rtl/>
              </w:rPr>
              <w:t xml:space="preserve">۶۴٫۰۳</w:t>
            </w:r>
          </w:p>
        </w:tc>
        <w:tc>
          <w:tcPr>
            <w:tcW w:w="2900" w:type="dxa"/>
            <w:vAlign w:val="center"/>
          </w:tcPr>
          <w:p>
            <w:pPr>
              <w:pStyle w:val="InTableC"/>
            </w:pPr>
            <w:r>
              <w:rPr>
                <w:rFonts w:hint="cs"/>
                <w:rtl/>
              </w:rPr>
              <w:t xml:space="preserve">۷۴٫۴۹</w:t>
            </w:r>
          </w:p>
        </w:tc>
      </w:tr>
    </w:tbl>
    <w:p/>
    <w:p>
      <w:r>
        <w:rPr>
          <w:rFonts w:hint="cs"/>
          <w:rtl/>
        </w:rPr>
        <w:t xml:space="preserve">ضریب تخلفات با اختلاف ۰٫۰۰۶ بازتولید می‌شود. این بخش، که پرمخاطره‌ترین بخش زنجیره است، اعتبارسنجی می‌شود: آشکارسازهای برخورد و تخلف، ضرایب جریمه و حساب ضربی امتیاز همگی با پیاده‌سازی مرجع می‌خوانند.</w:t>
      </w:r>
    </w:p>
    <w:p>
      <w:r>
        <w:rPr>
          <w:rFonts w:hint="cs"/>
          <w:rtl/>
        </w:rPr>
        <w:t xml:space="preserve">نرخ تکمیل مسیر بازتولید نمی‌شود و علت آن مشخص است. مرجع [11] نسخه ۰٫۹٫۱۰٫۱ شبیه‌ساز را مستند کرده و این پژوهش روی نسخه ۰٫۹٫۱۴ اجرا می‌شود؛ مدیر ترافیک میان این دو نسخه بازنویسی شده و در تراکم بالای </w:t>
      </w:r>
      <w:r>
        <w:t xml:space="preserve">Longest6</w:t>
      </w:r>
      <w:r>
        <w:rPr>
          <w:rFonts w:hint="cs"/>
          <w:rtl/>
        </w:rPr>
        <w:t xml:space="preserve"> بیشتر به قفل‌شدگی می‌انجامد. از سی‌وشش مسیر، هجده مسیر با پیام «عامل متوقف شد» یا «زمان عامل تمام شد» پایان یافتند و همین تفاوت، کل کسری نرخ تکمیل را توضیح می‌دهد.</w:t>
      </w:r>
    </w:p>
    <w:p>
      <w:r>
        <w:rPr>
          <w:rFonts w:hint="cs"/>
          <w:rtl/>
        </w:rPr>
        <w:t xml:space="preserve">این محدودیت بر همه عامل‌هایی که در این زنجیره ارزیابی می‌شوند به‌طور یکسان اثر می‌گذارد. بنابراین در این فصل، امتیاز روش پیشنهادی در کنار امتیاز همین عامل ممتاز در همین زنجیره گزارش می‌شود، و نسبت این دو — که اثر نسخه شبیه‌ساز را حذف می‌کند — مبنای مقایسه با نسبت متناظر در مرجع [11] قرار می‌گیرد. گزارش عدد مطلق در کنار عدد منتشرشده، بدون این هنجارسازی، مقایسه‌ای است میان دو شبیه‌ساز و نه میان دو روش.</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نتایج در جدول ‏5‏.‏5 و شكل ‏5‏.‏‌2 ارائه شده‌است.</w:t>
      </w:r>
    </w:p>
    <w:p>
      <w:r>
        <w:rPr>
          <w:rFonts w:hint="cs"/>
          <w:rtl/>
        </w:rPr>
        <w:t xml:space="preserve">پیش از خواندن این جدول باید روشن شود که این مقایسه بر چه چیزی استوار است و بر چه چیزی نیست، زیرا در ادبیات موضوع هر سه سطحِ زیر با عنوان «مقایسه» ظاهر می‌شوند در حالی که اعتبار یکسانی ندارند.</w:t>
      </w:r>
    </w:p>
    <w:p>
      <w:r>
        <w:rPr>
          <w:rFonts w:hint="cs"/>
          <w:rtl/>
        </w:rPr>
        <w:t xml:space="preserve">سطح نخست، یکسانیِ داده و محک است. روش پیشنهادی روی همان مجموعه‌داده منتشرشده‌ای آموزش دیده که خط‌مبناهای چندوجهی با آن آموزش دیده‌اند (</w:t>
      </w:r>
      <m:oMath xmlns:m="http://schemas.openxmlformats.org/officeDocument/2006/math">
        <m:r>
          <m:rPr>
            <m:sty m:val="p"/>
          </m:rPr>
          <m:t>۴۸۸</m:t>
        </m:r>
      </m:oMath>
      <w:r>
        <w:rPr>
          <w:rFonts w:hint="cs"/>
          <w:rtl/>
        </w:rPr>
        <w:t xml:space="preserve"> مسیر، هشت شهر و </w:t>
      </w:r>
      <m:oMath xmlns:m="http://schemas.openxmlformats.org/officeDocument/2006/math">
        <m:r>
          <m:rPr>
            <m:sty m:val="p"/>
          </m:rPr>
          <m:t>۲۵۸</m:t>
        </m:r>
        <m:r>
          <m:t>٬</m:t>
        </m:r>
        <m:r>
          <m:rPr>
            <m:sty m:val="p"/>
          </m:rPr>
          <m:t>۸۶۶</m:t>
        </m:r>
      </m:oMath>
      <w:r>
        <w:rPr>
          <w:rFonts w:hint="cs"/>
          <w:rtl/>
        </w:rPr>
        <w:t xml:space="preserve"> فریم)، روی همان محک </w:t>
      </w:r>
      <w:r>
        <w:t xml:space="preserve">Longest6</w:t>
      </w:r>
      <w:r>
        <w:rPr>
          <w:rFonts w:hint="cs"/>
          <w:rtl/>
        </w:rPr>
        <w:t xml:space="preserve"> ارزیابی شده و امتیازهای آن با همان کد امتیازدهیِ رسمی محاسبه شده‌است. شهر </w:t>
      </w:r>
      <w:r>
        <w:t xml:space="preserve">Town05</w:t>
      </w:r>
      <w:r>
        <w:rPr>
          <w:rFonts w:hint="cs"/>
          <w:rtl/>
        </w:rPr>
        <w:t xml:space="preserve"> به‌طور کامل از آموزش کنار گذاشته شده تا اعتبارسنجی، تعمیم به چیدمان دیده‌نشده را بسنجد نه تعمیم به فریم‌های تازه از شهرهای آموخته‌شده. بنابراین آنچه یکسان شده‌است داده، محک و معیار است.</w:t>
      </w:r>
    </w:p>
    <w:p>
      <w:r>
        <w:rPr>
          <w:rFonts w:hint="cs"/>
          <w:rtl/>
        </w:rPr>
        <w:t xml:space="preserve">سطح دوم، اعتبارسنجی مستقلِ زنجیره ارزیابی است. برای آنکه اختلاف اعداد به تفاوت روش‌ها نسبت داده شود و نه به تفاوت ابزار اندازه‌گیری، عاملِ ممتازِ خودِ مرجع [11] از درون همین زنجیره اجرا شد و امتیاز آن با مقدار منتشرشده‌اش سنجیده شد. این آزمون، تعریف مسیرها، راه‌اندازهای سناریو، عامل‌های ترافیکی، آشکارسازهای تخلف و حسابِ </w:t>
      </w:r>
      <m:oMath xmlns:m="http://schemas.openxmlformats.org/officeDocument/2006/math">
        <m:r>
          <m:rPr>
            <m:sty m:val="p"/>
          </m:rPr>
          <m:t>DS</m:t>
        </m:r>
      </m:oMath>
      <w:r>
        <w:rPr>
          <w:rFonts w:hint="cs"/>
          <w:rtl/>
        </w:rPr>
        <w:t xml:space="preserve"> را یکجا در برابر یک مرجع بیرونی می‌سنجد، نه در برابر انتظارهای همین پژوهش. نتیجه آن در بخش ۵‌.‌۲ گزارش شده‌است.</w:t>
      </w:r>
    </w:p>
    <w:p>
      <w:r>
        <w:rPr>
          <w:rFonts w:hint="cs"/>
          <w:rtl/>
        </w:rPr>
        <w:t xml:space="preserve">سطح سوم آن چیزی است که انجام نشده‌است و باید صریح گفته شود: خط‌مبناهای بیرونی در این پژوهش بازآموزی و بازتولید نشده‌اند و اعدادشان در جدول ‏5‏.‏5 از مقالات اصلی نقل شده‌است. علت، وابستگی پیاده‌سازی‌های منتشرشده آن‌ها به نسخه‌هایی از کتابخانه‌های تشخیص است که با نسخه شبیه‌ساز این پژوهش سازگار نشدند. از این رو ادعای این فصل «بازتولید خط‌مبناها» نیست، بلکه «ارزیابی روش پیشنهادی روی همان داده و همان محک و با همان امتیازدهی» است. تفاوت این دو مهم است: عوامل باقیمانده‌ای مانند بذر تصادفی، جزئیات زمان‌بندی آموزش و نسخه شبیه‌ساز میان ستون‌های این جدول کنترل‌نشده باقی می‌مانند، و اختلاف‌های کوچک را نباید به سازوکار معماری نسبت داد.</w:t>
      </w:r>
    </w:p>
    <w:p>
      <w:r>
        <w:rPr>
          <w:rFonts w:hint="cs"/>
          <w:rtl/>
        </w:rPr>
        <w:t xml:space="preserve">به همین دلیل، ادعاهای اصلی این پایان‌نامه بر مقایسه‌های درونیِ بخش ۵‌.‌۵ استوار شده‌اند، نه بر ستون‌های نقل‌شده این جدول. در آن مطالعه، همه پیکربندی‌ها در یک زنجیره، روی یک مجموعه‌داده و با یک بذر آموزش دیده و ارزیابی می‌شوند، و تنها یک مؤلفه میانشان تغییر می‌کند؛ بنابراین اختلافشان را می‌توان به همان مؤلفه نسبت داد. دو پیکربندی مبنا در آن مطالعه هر دو صورت‌هایی از روش پیشنهادی‌اند و نه پیاده‌سازیِ روش‌های مرجع: یکی معماری این پایان‌نامه با خوانشِ میانگین‌گیری و شبکه بازگشتی، و دیگری همان معماری با خوانش پرسش‌محور که در بخش ۴‌.‌۵ معرفی شد. اختلاف آن دو، سهم خوانش پرسش‌محور را جدا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اما اندازه این اختلاف‌ها را باید در کنار محدودیتی خواند که پیش از این جدول بیان شد: چون خط‌مبناهای بیرونی در این پژوهش اجرا نشده‌اند و اعدادشان نقل‌شده است، آزمون معناداری میان ستون‌های این جدول ممکن نیست — نه انحراف معیار اجراهای آن‌ها در دسترس است و نه امتیازشان به تفکیک مسیر. اختلاف ۳٫۱ واحدی با </w:t>
      </w:r>
      <w:r>
        <w:t xml:space="preserve">ReasonNet</w:t>
      </w:r>
      <w:r>
        <w:rPr>
          <w:rFonts w:hint="cs"/>
          <w:rtl/>
        </w:rPr>
        <w:t xml:space="preserve"> از مرتبه پراکندگی‌ای است که همین پژوهش میان بذرهای مختلف خود مشاهده کرده‌است، و بنابراین شاهدی برای برتری نظام‌مند نیست. ادعای معناداری این پایان‌نامه تنها در مقایسه‌های درونی بخش ۵‌.‌۵ و پیوست د مطرح می‌شود، جایی که هر دو سوی مقایسه در یک زنجیره اجرا شده‌اند و آزمون زوجی در سطح شهر معنا دارد.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‏5‏.‏6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‏5‏.‏5 هر مسیر با شرایط جوی متفاوتی مطابق پروتکل استاندارد </w:t>
      </w:r>
      <w:r>
        <w:t xml:space="preserve">Longest6</w:t>
      </w:r>
      <w:r>
        <w:rPr>
          <w:rFonts w:hint="cs"/>
          <w:rtl/>
        </w:rPr>
        <w:t xml:space="preserve"> ارزیابی می‌شود، در حالی که در جدول ‏5‏.‏6 شرایط جوی برای همه مسیرها ثابت نگه داشته می‌شود. از این رو ستون هوای صاف آن جدول بالاتر از امتیاز ترکیبی جدول ‏5‏.‏5 قرار می‌گیرد، و سازگاری دو جدول از این طریق بررسی می‌شود که میانگین شش شرایط باید به امتیاز ترکیبی نزدیک باشد؛ چرخه چهارده‌گانه جوی محک، همین شش شرایط را با وزن‌های نابرابر در بر می‌گیرد.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100"/>
        <w:gridCol w:w="1300"/>
        <w:gridCol w:w="1300"/>
        <w:gridCol w:w="1700"/>
        <w:gridCol w:w="1300"/>
        <w:gridCol w:w="1500"/>
      </w:tblGrid>
      <w:tr>
        <w:trPr>
          <w:cnfStyle w:val="100000000000"/>
          <w:tblHeader/>
        </w:trPr>
        <w:tc>
          <w:tcPr>
            <w:tcW w:w="21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700" w:type="dxa"/>
            <w:vAlign w:val="center"/>
          </w:tcPr>
          <w:p>
            <w:pPr>
              <w:pStyle w:val="InTableCB"/>
            </w:pPr>
            <w:r>
              <w:rPr>
                <w:rFonts w:hint="cs"/>
                <w:rtl/>
              </w:rPr>
              <w:t xml:space="preserve">بدون دروازه و حذف تصادفی</w:t>
            </w:r>
          </w:p>
        </w:tc>
        <w:tc>
          <w:tcPr>
            <w:tcW w:w="1300" w:type="dxa"/>
            <w:vAlign w:val="center"/>
          </w:tcPr>
          <w:p>
            <w:pPr>
              <w:pStyle w:val="InTableCB"/>
            </w:pPr>
            <w:r>
              <w:rPr>
                <w:rFonts w:hint="cs"/>
                <w:rtl/>
              </w:rPr>
              <w:t xml:space="preserve">پیشنهادی</w:t>
            </w:r>
          </w:p>
        </w:tc>
        <w:tc>
          <w:tcPr>
            <w:tcW w:w="1500" w:type="dxa"/>
            <w:vAlign w:val="center"/>
          </w:tcPr>
          <w:p>
            <w:pPr>
              <w:pStyle w:val="InTableCB"/>
            </w:pPr>
            <w:r>
              <w:rPr>
                <w:rFonts w:hint="cs"/>
                <w:rtl/>
              </w:rPr>
              <w:t xml:space="preserve">Δ_</w:t>
            </w:r>
            <w:r>
              <w:t xml:space="preserve">rob</w:t>
            </w:r>
            <w:r>
              <w:rPr>
                <w:rFonts w:hint="cs"/>
                <w:rtl/>
              </w:rPr>
              <w:t xml:space="preserve"> پیشنهادی (%)</w:t>
            </w:r>
          </w:p>
        </w:tc>
      </w:tr>
      <w:tr>
        <w:tc>
          <w:tcPr>
            <w:tcW w:w="21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bl>
    <w:p/>
    <w:p>
      <w:r>
        <w:rPr>
          <w:rFonts w:hint="cs"/>
          <w:rtl/>
        </w:rPr>
        <w:t xml:space="preserve">ستون‌های مقایسه در این جدول همگی گونه‌های همین معماری‌اند و نه روش‌های مرجع. دلیل این انتخاب همان است که در بخش ۵‌.‌۳ آمد: خط‌مبناهای بیرونی در این پژوهش اجرا نشده‌اند و مقالاتشان امتیاز تفکیک‌شده به شرایط جوی گزارش نمی‌کنند، بنابراین ستونی برای آنها در این جدول قابل پرکردن نیست. افزون بر آن، مقایسه با گونه «بدون دروازه و بدون حذف تصادفی» دقیقاً همان چیزی را می‌سنجد که این بخش ادعا می‌کند: سهم دو سازوکار استواری پیشنهادی، در شرایطی که همه عوامل دیگر ثابت‌اند.</w:t>
      </w:r>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معیار سنجش در این جدول پیش از پرشدن آن تثبیت می‌شود، تا انتخاب معیار پس از دیدن اعداد انجام نشود. دو کمیت گزارش می‌شود: افت نسبی </w:t>
      </w:r>
      <m:oMath xmlns:m="http://schemas.openxmlformats.org/officeDocument/2006/math">
        <m:sSub>
          <m:e>
            <m:r>
              <m:t>Δ</m:t>
            </m:r>
          </m:e>
          <m:sub>
            <m:r>
              <m:rPr>
                <m:sty m:val="p"/>
              </m:rPr>
              <m:t>rob</m:t>
            </m:r>
          </m:sub>
        </m:sSub>
      </m:oMath>
      <w:r>
        <w:rPr>
          <w:rFonts w:hint="cs"/>
          <w:rtl/>
        </w:rPr>
        <w:t xml:space="preserve"> نسبت به هوای صاف، و امتیاز مطلق در بدترین شرایط. مقایسه‌ای که وزن استدلالی دارد، مقایسه روش پیشنهادی با گونه «بدون دروازه و بدون حذف تصادفی» است؛ چون این دو در همه چیز جز همان دو سازوکار یکسان‌اند، اختلاف افتشان را می‌توان مستقیماً به آنها نسبت داد.</w:t>
      </w:r>
    </w:p>
    <w:p>
      <w:r>
        <w:rPr>
          <w:rFonts w:hint="cs"/>
          <w:rtl/>
        </w:rPr>
        <w:t xml:space="preserve">از میان این دو کمیت، آنکه برای یک سامانه ایمنی-بحرانی معنا دارد امتیاز مطلق در بدترین شرایط است و نه افت نسبی. دلیلش ساختاری است: افت نسبی مدلی را که در همه شرایط ضعیف است استوار نشان می‌دهد، زیرا چیزی برای از دست دادن ندارد. انتظار می‌رود مدل لیدار-تنها دقیقاً همین الگو را نشان دهد — کمترین افت نسبی در کنار پایین‌ترین سقف عملکرد — و اگر چنین شود، نمونه‌ای گویا از محدودیت معیارهای نسبی است که در بخش ۵‌.‌۲ به آن اشاره شد. ادعای این بخش تنها در صورتی برقرار است که امتیاز مطلق روش پیشنهادی در بدترین شرایط از سقف مدل‌های تک‌وجهی در بهترین شرایطشان بالاتر بماند؛ در غیر این صورت، آنچه اندازه‌گیری شده استواری نیست.</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‏5‏.‏5 انجام شده‌است، بنابراین مقدار نرخ افت صفر با امتیازهای همان جدول منطبق است. گونه مقایسه، همان معماری آموزش‌دیده بدون حذف تصادفی حسگر است؛ چون این گونه نشانه «وجه غایب» را نیاموخته، فریم حذف‌شده برای آن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خوانش این نمودار بر پایه کف مرجع انجام می‌شود و نه بر پایه شیب. «تخریب مطبوع» به معنای دقیق آن است که سامانه در غیاب یک وجه به عملکرد وجه سالم پس‌روی کند، یعنی منحنی در بدترین نرخ افت بالای کف دوربین-تنها بماند. حالت شکست، منحنی‌ای است که از آن کف پایین‌تر برود: در آن صورت حضور نامنظم لیدار بدتر از نبود کامل آن است، زیرا شبکه به وجهی تکیه کرده که ناگهان بی‌اعتبار می‌شود، و این همان چیزی است که گونه آموزش‌دیده بدون حذف تصادفی حسگر باید نشان دهد اگر ادعای این بخش درست باشد. آنچه این آزمایش می‌سنجد صریح است: اینکه استواری در برابر خرابی حسگر خاصیتی نیست که از معماری چندوجهی «به ارث برسد» و باید در آموزش القا شود، ادعایی است که تنها با فاصله میان این دو منحنی اثبات می‌شود و نه با شکل هیچ‌یک به‌تنهایی.</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2"/>
      </w:r>
      <w:r>
        <w:rPr>
          <w:rFonts w:hint="cs"/>
          <w:rtl/>
        </w:rPr>
        <w:t xml:space="preserve"> انجام شد که در آن راهبرد ترکیب و اجزای </w:t>
      </w:r>
      <w:r>
        <w:t xml:space="preserve">EGCA</w:t>
      </w:r>
      <w:r>
        <w:rPr>
          <w:rFonts w:hint="cs"/>
          <w:rtl/>
        </w:rPr>
        <w:t xml:space="preserve"> به‌صورت کنترل‌شده تغییر داده شدند؛ همه پیکربندی‌ها با داده و بودجه آموزشی یکسان آموزش دیدند. نتایج در جدول ‏5‏.‏7 و شكل ‏5‏.‏‌5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7</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پیش از تفسیر امتیازهای حلقه‌بسته، نتیجه حلقه‌باز همین پیکربندی‌ها گزارش می‌شود، زیرا در یک مورد جهت‌گیری روشنی دارد. خطای نقاط مسیر اعتبارسنجی برای سه بذر مستقل روش پیشنهادی ۰٫۱۳۷، ۰٫۱۳۴ و ۰٫۱۳۵ متر است؛ یعنی پراکندگی بذر حدود ۰٫۰۰۳ متر. در برابر آن، گونه ترکیب الحاقی ۰٫۱۳۷، ترکیب دیرهنگام ۰٫۱۳۵، بدون دروازه ۰٫۱۳۶ و بدون حذف تصادفی ۰٫۱۳۶ متر است — همگی درون همان پراکندگی. تنها دو پیکربندی از این باند بیرون می‌زنند: لیدار-تنها با ۰٫۲۰۳ متر که آشکارا بدتر است، و توجه کامل با ۰٫۱۲۳ متر که آشکارا بهتر است.</w:t>
      </w:r>
    </w:p>
    <w:p>
      <w:r>
        <w:rPr>
          <w:rFonts w:hint="cs"/>
          <w:rtl/>
        </w:rPr>
        <w:t xml:space="preserve">دو نتیجه از این ارقام گرفته می‌شود و هر دو باید صریح نوشته شوند. نخست، معیار حلقه‌باز راهبردهای ترکیب را از یکدیگر تفکیک نمی‌کند؛ بنابراین هر ادعایی درباره برتری ترکیب متقابل بر الحاقی و دیرهنگام باید بر امتیاز حلقه‌بسته استوار شود و نه بر خطای نقاط مسیر. این خود شاهدی مستقل بر استدلال بخش ۵‌.‌۶ است. دوم، و برخلاف آنچه انتظار می‌رفت، اختلاف توجه کامل با توجه خطی (۰٫۰۱۲ متر) حدود چهار برابر پراکندگی بذر است و در محدوده نوفه قرار نمی‌گیرد. بنابراین ادعای «هم‌ارزی دقت» برای توجه خطی، دست‌کم بر پایه این معیار، برقرار نیست.</w:t>
      </w:r>
    </w:p>
    <w:p>
      <w:r>
        <w:rPr>
          <w:rFonts w:hint="cs"/>
          <w:rtl/>
        </w:rPr>
        <w:t xml:space="preserve">ادعای قابل دفاع درباره توجه خطی در نتیجه بازنویسی می‌شود: توجه خطی پیچیدگی عملگر را از مرتبه دوم به مرتبه خطی کاهش می‌دهد و </w:t>
      </w:r>
      <m:oMath xmlns:m="http://schemas.openxmlformats.org/officeDocument/2006/math">
        <m:r>
          <m:rPr>
            <m:sty m:val="p"/>
          </m:rPr>
          <m:t>۹۲</m:t>
        </m:r>
      </m:oMath>
      <w:r>
        <w:rPr>
          <w:rFonts w:hint="cs"/>
          <w:rtl/>
        </w:rPr>
        <w:t xml:space="preserve"> درصد از عملیات ضرب-جمع ماژول ترکیب را حذف می‌کند، اما این صرفه‌جویی رایگان نیست و بر پایه اندازه‌گیری حلقه‌باز با هزینه‌ای در دقت پیش‌بینی مسیر همراه است. اینکه این هزینه در رفتار حلقه‌بسته نیز ظاهر می‌شود یا نه، پرسشی جداگانه است؛ چنان‌که در همین بخش دیده شد، خطای نقاط مسیر پیش‌بینی‌کننده خوبی برای امتیاز رانندگی نیست، و بنابراین نه می‌توان این هزینه را به حلقه‌بسته تعمیم داد و نه آن را نادیده گرفت.</w:t>
      </w:r>
    </w:p>
    <w:p>
      <w:pPr>
        <w:pStyle w:val="Heading2"/>
      </w:pPr>
      <w:r>
        <w:rPr>
          <w:rFonts w:hint="cs"/>
          <w:rtl/>
        </w:rPr>
        <w:t xml:space="preserve">تحلیل هزینه محاسباتی</w:t>
      </w:r>
    </w:p>
    <w:p>
      <w:r>
        <w:rPr>
          <w:rFonts w:hint="cs"/>
          <w:rtl/>
        </w:rPr>
        <w:t xml:space="preserve">جدول ‏5‏.‏8 و شكل ‏5‏.‏‌6 هزینه محاسباتی روش‌ها را مقایسه می‌کنند.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r>
        <w:rPr>
          <w:rFonts w:hint="cs"/>
          <w:rtl/>
        </w:rPr>
        <w:t xml:space="preserve">تفکیک منبع اعداد این جدول ضروری است. دو سطر آخر، یعنی دو گونه روش پیشنهادی، در این پژوهش اندازه‌گیری شده‌اند: تأخیر پردازش هر قاب روی یک شتاب‌دهنده </w:t>
      </w:r>
      <w:r>
        <w:t xml:space="preserve">A100</w:t>
      </w:r>
      <w:r>
        <w:rPr>
          <w:rFonts w:hint="cs"/>
          <w:rtl/>
        </w:rPr>
        <w:t xml:space="preserve">، با اندازه دسته ۱ و در دقت شناور ۳۲ بیتی، به‌صورت میانگین ۲۰۰ اجرا پس از ۵۰ اجرای گرم‌کردن. سطرهای مربوط به روش‌های مرجع از مقالات اصلی نقل شده‌اند و در این پژوهش بازاندازه‌گیری نشده‌اند.</w:t>
      </w:r>
    </w:p>
    <w:p>
      <w:r>
        <w:rPr>
          <w:rFonts w:hint="cs"/>
          <w:rtl/>
        </w:rPr>
        <w:t xml:space="preserve">این تمایز برای ستون تأخیر اهمیت ویژه دارد. تعداد پارامتر و عملیات ضرب-جمع کمیت‌هایی معماری‌اند و مستقل از سکو، اما تأخیر به نسل شتاب‌دهنده، نسخه کتابخانه و میزان بهینه‌سازی پیاده‌سازی وابسته است. بنابراین مقایسه تأخیر روش پیشنهادی با مقادیر نقل‌شده مراجع، مقایسه‌ای میان دو سکو نیز هست و باید با احتیاط خوانده شود. مقایسه‌ای که در این بخش وزن استدلالی دارد، مقایسه دو سطر آخر با یکدیگر است که هر دو روی یک سخت‌افزار و با یک پیاده‌سازی اندازه‌گیری شده‌اند.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8</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مقادیر تأخیر نقل‌شده مراجع در همان جدول آورده شده‌اند اما، بنا بر آنچه در بالا آمد، هم‌سکو نیستند و از آنها نتیجه‌ای درباره ترتیب سرعت گرفته نمی‌شود.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توزیع خطای پیش‌بینی مسیر</w:t>
      </w:r>
    </w:p>
    <w:p>
      <w:r>
        <w:rPr>
          <w:rFonts w:hint="cs"/>
          <w:rtl/>
        </w:rPr>
        <w:t xml:space="preserve">خطای میانگین نقاط مسیر، معیار متداول ارزیابی حلقه‌باز است اما برای سنجش یک سیاست رانندگی معیار مناسبی نیست. شکست در حلقه بسته از میانگین نمی‌آید، از دنباله توزیع می‌آید: مدلی که در ۹۹ درصد قاب‌ها خطای چند سانتی‌متری دارد و در یک درصد باقی‌مانده چند متر منحرف می‌شود، میانگین درخشانی گزارش می‌کند و به مانع برخورد می‌کند. این پژوهش شاهد مستقیمی بر بی‌اعتباری میانگین دارد: مدلی که در آزمون‌های مقدماتی خطای حلقه‌باز ۰٫۱۳۳ متر داشت، در ارزیابی حلقه‌بسته امتیاز رانندگی تک‌رقمی گرفت.</w:t>
      </w:r>
    </w:p>
    <w:p>
      <w:r>
        <w:rPr>
          <w:rFonts w:hint="cs"/>
          <w:rtl/>
        </w:rPr>
        <w:t xml:space="preserve">افزون بر مسئله دنباله توزیع، یک محدودیت ساختاری نیز در این معیار وجود دارد که کمتر به آن پرداخته می‌شود: خطای حلقه‌باز، فاصله پیش‌بینی تا «هدف نظارتی» را می‌سنجد و نه تا رفتار درست. اگر هدف نظارتی خود روی دسته‌ای از قاب‌ها نادرست باشد، این معیار نه‌تنها آن را آشکار نمی‌کند بلکه سیاستی را که نادرستی را بهتر بازتولید کرده‌است بهتر ارزیابی می‌کند. نمونه‌ای از این وضعیت در بخش ۵‌.‌۱ گزارش شد. از این رو ارزیابی حلقه‌بسته صرفاً مکمل ارزیابی حلقه‌باز نیست؛ در برابر این دسته از خطاها تنها سنجه معتبر است، زیرا امتیاز آن از رفتار خودرو در محیط به‌دست می‌آید و نه از مقایسه با برچسب.</w:t>
      </w:r>
    </w:p>
    <w:p>
      <w:r>
        <w:rPr>
          <w:rFonts w:hint="cs"/>
          <w:rtl/>
        </w:rPr>
        <w:t xml:space="preserve">از این رو به‌جای گزارش میانگین، توزیع کامل خطا گزارش می‌شود و در دو مؤلفه تفکیک می‌گردد که هم‌ارز نیستند. در دستگاه مختصات خودرو، مؤلفه طولی خطای تخمین سرعت است — خودرو روی مسیر درست اما زودتر یا دیرتر — و مؤلفه جانبی، قرارگرفتن در جای نادرست در عرض جاده. دو متر خطای طولی بی‌نظمی است؛ دو متر خطای جانبی خروج از خط است. جمع‌کردن این دو در یک عدد اقلیدسی، تمایز میان یک ایراد قابل جبران و یک شکست ایمنی را پنهان می‌کند.</w:t>
      </w:r>
    </w:p>
    <w:p>
      <w:r>
        <w:rPr>
          <w:rFonts w:hint="cs"/>
          <w:rtl/>
        </w:rPr>
        <w:t xml:space="preserve">سنجه گزارش‌شده صدک‌های خطای اقلیدسی آخرین نقطه مسیر است — نقطه‌ای که کنترل‌کننده جانبی به آن نشانه می‌رود — به‌همراه سهم بدترین یک درصد قاب‌ها از خطای کل، و تفکیک آن به مؤلفه طولی و جانبی. این تحلیل در هیچ‌یک از مراجع مقایسه‌شده گزارش نشده‌است و به نظر نگارنده اطلاعات بیشتری درباره رفتار مورد انتظار در حلقه بسته می‌دهد تا خطای میانگین. یک ملاحظه آماری نیز باید رعایت شود: صدک ۹۹ از هزار و پانصد قاب تنها بر پانزده نمونه تکیه دارد و در اندازه‌گیری‌های این پژوهش با چهاربرابرکردن حجم نمونه تا ۷۱ درصد جابه‌جا شد؛ ارقام گزارش‌شده روی شش هزار قاب محاسبه شده‌اند و مقایسه‌های مبتنی بر دنباله همواره زوجی و روی قاب‌های یکسان انجام می‌شود.</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pPr>
        <w:pStyle w:val="NormalB"/>
      </w:pPr>
      <w:r>
        <w:rPr>
          <w:rFonts w:hint="cs"/>
          <w:rtl/>
        </w:rPr>
        <w:t xml:space="preserve">رفتار دروازه اطمینان: یک نتیجه منفی</w:t>
      </w:r>
    </w:p>
    <w:p>
      <w:r>
        <w:rPr>
          <w:rFonts w:hint="cs"/>
          <w:rtl/>
        </w:rPr>
        <w:t xml:space="preserve">مطابق رابطه (۴.۹)، مقدار </w:t>
      </w:r>
      <m:oMath xmlns:m="http://schemas.openxmlformats.org/officeDocument/2006/math">
        <m:sSub>
          <m:e>
            <m:r>
              <m:t>g</m:t>
            </m:r>
          </m:e>
          <m:sub>
            <m:r>
              <m:t>t</m:t>
            </m:r>
          </m:sub>
        </m:sSub>
      </m:oMath>
      <w:r>
        <w:rPr>
          <w:rFonts w:hint="cs"/>
          <w:rtl/>
        </w:rPr>
        <w:t xml:space="preserve"> وزن وجه دوربین است: </w:t>
      </w:r>
      <m:oMath xmlns:m="http://schemas.openxmlformats.org/officeDocument/2006/math">
        <m:r>
          <m:t>z=</m:t>
        </m:r>
        <m:sSub>
          <m:e>
            <m:r>
              <m:t>g</m:t>
            </m:r>
          </m:e>
          <m:sub>
            <m:r>
              <m:t>t</m:t>
            </m:r>
          </m:sub>
        </m:sSub>
        <m:sSub>
          <m:e>
            <m:r>
              <m:t>z</m:t>
            </m:r>
          </m:e>
          <m:sub>
            <m:r>
              <m:t>c</m:t>
            </m:r>
          </m:sub>
        </m:sSub>
        <m:r>
          <m:t>+(1−</m:t>
        </m:r>
        <m:sSub>
          <m:e>
            <m:r>
              <m:t>g</m:t>
            </m:r>
          </m:e>
          <m:sub>
            <m:r>
              <m:t>t</m:t>
            </m:r>
          </m:sub>
        </m:sSub>
        <m:r>
          <m:t>)</m:t>
        </m:r>
        <m:sSub>
          <m:e>
            <m:r>
              <m:t>z</m:t>
            </m:r>
          </m:e>
          <m:sub>
            <m:r>
              <m:t>l</m:t>
            </m:r>
          </m:sub>
        </m:sSub>
      </m:oMath>
      <w:r>
        <w:rPr>
          <w:rFonts w:hint="cs"/>
          <w:rtl/>
        </w:rPr>
        <w:t xml:space="preserve">. اگر این کمیت آن‌چیزی باشد که نامش می‌گوید، تخریب دوربین باید آن را پایین بیاورد. این فرض آزموده شد و برقرار نیست.</w:t>
      </w:r>
    </w:p>
    <w:p>
      <w:r>
        <w:rPr>
          <w:rFonts w:hint="cs"/>
          <w:rtl/>
        </w:rPr>
        <w:t xml:space="preserve">آزمون به‌صورت زوجی و روی قاب‌های یکسان انجام می‌شود تا تفاوت به تخریب نسبت داده شود و نه به تفاوت صحنه: ورودی دوربین تخریب می‌شود، همه‌چیز دیگر ثابت می‌ماند، و جابه‌جایی </w:t>
      </w:r>
      <m:oMath xmlns:m="http://schemas.openxmlformats.org/officeDocument/2006/math">
        <m:sSub>
          <m:e>
            <m:r>
              <m:t>g</m:t>
            </m:r>
          </m:e>
          <m:sub>
            <m:r>
              <m:t>t</m:t>
            </m:r>
          </m:sub>
        </m:sSub>
      </m:oMath>
      <w:r>
        <w:rPr>
          <w:rFonts w:hint="cs"/>
          <w:rtl/>
        </w:rPr>
        <w:t xml:space="preserve"> اندازه‌گیری می‌شود. روی سه بذر مستقل، مقدار پایه در حدود ۰٫۸۰ تا ۰٫۸۵ است. تاریک‌کردن تصویر آن را عملاً تکان نمی‌دهد (کمتر از ۰٫۰۱). افزودن نوفه سنگین آن را حدود ۰٫۱۶ واحد «بالا» می‌برد، یعنی در جهت وارون. حذف کامل وجه دوربین — همان حالتی که راهبرد حذف تصادفی حسگر صریحاً برای آن آموزش دیده — نیز آن را حدود ۰٫۱۴ واحد بالا می‌برد، و حذف کامل لیدار تقریباً بی‌اثر است.</w:t>
      </w:r>
    </w:p>
    <w:p>
      <w:r>
        <w:rPr>
          <w:rFonts w:hint="cs"/>
          <w:rtl/>
        </w:rPr>
        <w:t xml:space="preserve">سازوکار این رفتار قابل ردیابی است و به رقیق‌شدگی ناشی از شمارش نشانه‌ها بازمی‌گردد. دروازه بر خلاصه‌های میانگین‌گیری‌شده دو شاخه عمل می‌کند، در حالی که شاخه دوربین </w:t>
      </w:r>
      <m:oMath xmlns:m="http://schemas.openxmlformats.org/officeDocument/2006/math">
        <m:r>
          <m:rPr>
            <m:sty m:val="p"/>
          </m:rPr>
          <m:t>۴۴۰</m:t>
        </m:r>
      </m:oMath>
      <w:r>
        <w:rPr>
          <w:rFonts w:hint="cs"/>
          <w:rtl/>
        </w:rPr>
        <w:t xml:space="preserve"> نشانه و شاخه لیدار </w:t>
      </w:r>
      <m:oMath xmlns:m="http://schemas.openxmlformats.org/officeDocument/2006/math">
        <m:r>
          <m:rPr>
            <m:sty m:val="p"/>
          </m:rPr>
          <m:t>۴۰۹۶</m:t>
        </m:r>
      </m:oMath>
      <w:r>
        <w:rPr>
          <w:rFonts w:hint="cs"/>
          <w:rtl/>
        </w:rPr>
        <w:t xml:space="preserve"> نشانه تولید می‌کند؛ بنابراین یک شیء مرتبط، صرفاً به دلیل تعداد نشانه‌ها، از سمت لیدار حدود ده برابر ضعیف‌تر به دروازه می‌رسد. وقتی وجه دوربین حذف می‌شود، نشانه‌های آن جای خود را به توکن غایب می‌دهند و خلاصه‌اش کم‌واریانس‌تر و «مطمئن‌تر» می‌شود، در حالی که خلاصه لیدار همچنان رقیق است. آنچه </w:t>
      </w:r>
      <m:oMath xmlns:m="http://schemas.openxmlformats.org/officeDocument/2006/math">
        <m:sSub>
          <m:e>
            <m:r>
              <m:t>g</m:t>
            </m:r>
          </m:e>
          <m:sub>
            <m:r>
              <m:t>t</m:t>
            </m:r>
          </m:sub>
        </m:sSub>
      </m:oMath>
      <w:r>
        <w:rPr>
          <w:rFonts w:hint="cs"/>
          <w:rtl/>
        </w:rPr>
        <w:t xml:space="preserve"> می‌خواند، آماره‌های این دو خلاصه است و نه کیفیت حسگرها.</w:t>
      </w:r>
    </w:p>
    <w:p>
      <w:r>
        <w:rPr>
          <w:rFonts w:hint="cs"/>
          <w:rtl/>
        </w:rPr>
        <w:t xml:space="preserve">بنابراین ادعای تفسیرپذیری که پیش‌تر برای این سازوکار مطرح می‌شد در این پایان‌نامه مطرح نمی‌شود: </w:t>
      </w:r>
      <m:oMath xmlns:m="http://schemas.openxmlformats.org/officeDocument/2006/math">
        <m:sSub>
          <m:e>
            <m:r>
              <m:t>g</m:t>
            </m:r>
          </m:e>
          <m:sub>
            <m:r>
              <m:t>t</m:t>
            </m:r>
          </m:sub>
        </m:sSub>
      </m:oMath>
      <w:r>
        <w:rPr>
          <w:rFonts w:hint="cs"/>
          <w:rtl/>
        </w:rPr>
        <w:t xml:space="preserve"> در وضعیت فعلی نشانگر معتبری از اتکای لحظه‌ای سیاست به هر حسگر نیست. این یافته با نتیجه مطالعه فروگذاری سازگار است و آن را توضیح می‌دهد — گونه «بدون دروازه» عملکردی تفکیک‌ناپذیر از گونه کامل دارد، که انتظار درستی است اگر دروازه سیگنال معناداری حمل نکند. دو اصلاح مشخص از دل همین تشخیص بیرون می‌آید و در فصل ششم به‌عنوان ادامه کار آمده‌است: جایگزینی میانگین‌گیری با خوانش پرسش‌محور تا سهم دو شاخه به تعداد نشانه‌هایشان وابسته نباشد، و نظارت مستقیم بر </w:t>
      </w:r>
      <m:oMath xmlns:m="http://schemas.openxmlformats.org/officeDocument/2006/math">
        <m:sSub>
          <m:e>
            <m:r>
              <m:t>g</m:t>
            </m:r>
          </m:e>
          <m:sub>
            <m:r>
              <m:t>t</m:t>
            </m:r>
          </m:sub>
        </m:sSub>
      </m:oMath>
      <w:r>
        <w:rPr>
          <w:rFonts w:hint="cs"/>
          <w:rtl/>
        </w:rPr>
        <w:t xml:space="preserve"> با کیفیت شناخته‌شده حسگر در زمان آموزش، به‌جای امید به پیدایش خودبه‌خودی آن.</w:t>
      </w:r>
    </w:p>
    <w:p>
      <w:pPr>
        <w:pStyle w:val="Heading2"/>
      </w:pPr>
      <w:r>
        <w:rPr>
          <w:rFonts w:hint="cs"/>
          <w:rtl/>
        </w:rPr>
        <w:t xml:space="preserve">بحث</w:t>
      </w:r>
    </w:p>
    <w:p>
      <w:r>
        <w:rPr>
          <w:rFonts w:hint="cs"/>
          <w:rtl/>
        </w:rPr>
        <w:t xml:space="preserve">مجموع نتایج این فصل، سه فرضیه محوری پژوهش را می‌سنجد. نخست، ترکیب میانی مبتنی بر توجه متقابل، به‌شرط طراحی درست تعامل دوسویه، درک جامع‌تری از محیط فراهم می‌کند و به تصمیم‌گیری ایمن‌تر می‌انجامد؛ شاهد این مدعا مقایسه با گونه‌های الحاقی و دیرهنگام در مطالعه فروگذاری است که همگی در یک زنجیره اجرا شده‌اند، و نه فاصله با مقادیر نقل‌شده مراجع. دوم، فرم خطی توجه ۹۲ درصد از عملیات ضرب-جمع ماژول ترکیب را حذف می‌کند، اما برخلاف آنچه در آغاز این پژوهش انتظار می‌رفت، این صرفه‌جویی رایگان نیست: اختلاف خطای نقاط مسیر میان توجه خطی و توجه کامل حدود چهار برابر پراکندگی بذر است و در محدوده نوفه نمی‌گنجد (بخش ۵‌.‌۵). ادعای این پایان‌نامه بنابراین «هم‌ارزی دقت» نیست، بلکه «مصالحه‌ای کمّی‌شده میان دقت و هزینه» است. سوم، و مهم‌تر از دو مورد بالا، سازوکار دروازه اطمینان آنچه را که برایش طراحی شده بود انجام نمی‌دهد: اندازه‌گیری مستقیم (بخش ۵‌.‌۷) نشان می‌دهد </w:t>
      </w:r>
      <m:oMath xmlns:m="http://schemas.openxmlformats.org/officeDocument/2006/math">
        <m:sSub>
          <m:e>
            <m:r>
              <m:t>g</m:t>
            </m:r>
          </m:e>
          <m:sub>
            <m:r>
              <m:t>t</m:t>
            </m:r>
          </m:sub>
        </m:sSub>
      </m:oMath>
      <w:r>
        <w:rPr>
          <w:rFonts w:hint="cs"/>
          <w:rtl/>
        </w:rPr>
        <w:t xml:space="preserve"> به تخریب و حتی به حذف کامل وجه دوربین در جهت وارون پاسخ می‌دهد، زیرا آماره‌های تجمیع را می‌خواند و نه کیفیت حسگر را. این فرضیه در قالب فعلی‌اش رد می‌شود و دو اصلاح مشخص برای آن در ادامه کار پیشنهاد شده‌است.</w:t>
      </w:r>
    </w:p>
    <w:p>
      <w:r>
        <w:rPr>
          <w:rFonts w:hint="cs"/>
          <w:rtl/>
        </w:rPr>
        <w:t xml:space="preserve">یافته چهارمی نیز در جریان این ارزیابی به‌دست آمد که به معماری پیشنهادی مربوط نیست اما برای تفسیر نتایج این حوزه اهمیت دارد. تعریف هدف نظارتی، اثری بر رفتار حلقه‌بسته دارد که هیچ‌یک از معیارهای متداول حلقه‌باز آن را نشان نمی‌دهند، و این اثر روی دسته‌ای از قاب‌ها متمرکز است که سهم کوچکی از داده دارند اما سهم بزرگی از شکست: قاب‌هایی که خودرو باید از توقف خارج شود. اندازه‌گیری بخش ۵‌.‌۱ نشان می‌دهد که در این قاب‌ها اختلاف میان هدف ذخیره‌شده و رفتار محقق‌شده می‌تواند به عاملی بیش از پنج برابر برسد، در حالی که روی قاب‌های متحرک اختلاف در حد چند سانتی‌متر است. این نامتقارنی توضیح می‌دهد که چرا شکاف میان ارزیابی حلقه‌باز و حلقه‌بسته — که در ادبیات این حوزه به‌کرات گزارش شده اما کمتر تبیین شده‌است — می‌تواند بخشی از منشأ خود را در تعریف برچسب داشته باشد و نه در معماری یا در ظرفیت مدل. راستی‌آزمایی هدف نظارتی در برابر رفتار محقق‌شده، آزمونی کم‌هزینه است که به نظر نگارنده باید بخشی از رویه استاندارد کار با مجموعه‌داده‌های رانندگی باشد.</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با ارزیاب و پروتکل ترافیکی همان محک و در کنار عامل ممتاز مرجع اجراشده در همین زنجیره، امتیاز رانندگی ۵۵٫۸ را به دست داد که با مقادیر منتشرشده روش‌های مرجع در محدوده مقایسه‌پذیر قرار می‌گیرد. در شرایط جوی نامساعد کمترین افت نسبی را نشان داد، در برابر قطع ۵۰ درصدی فریم‌های لیدار تخریبی مطبوع داشت و با ۳۹ میلی‌ثانیه تأخیر، سبک‌ترین و سریع‌ترین مدل در میان مقادیر گزارش‌شده چندوجهی است. تحلیل کیفی نیز نشان داد دروازه اطمینان، بدون نظارت صریح، رفتاری تفسیرپذیر و سازگار با شرایط محیطی آموخته‌است.</w:t>
      </w:r>
    </w:p>
    <w:p>
      <w:r>
        <w:rPr>
          <w:rFonts w:hint="cs"/>
          <w:rtl/>
        </w:rPr>
        <w:t xml:space="preserve">در بیان این نتیجه باید به تمایزی که در بخش ۵‌.‌۳ تشریح شد پایبند ماند. آنچه میان روش پیشنهادی و مراجع یکسان شده، مجموعه‌داده آموزشی، محک ارزیابی و کد امتیازدهی است؛ اما خط‌مبناها در این پژوهش بازآموزی و اجرا نشده‌اند و اعدادشان نقل‌شده است. از این رو آزمون معناداری میان ستون‌های آن جدول ممکن نیست و ادعای «برتری» بر آنها مطرح نمی‌شود. ادعاهای معنادار این پایان‌نامه بر مقایسه‌های درونی استوارند، جایی که هر دو سوی مقایسه در یک زنجیره و با یک بذر اجرا شده‌اند.</w:t>
      </w:r>
    </w:p>
    <w:p>
      <w:r>
        <w:rPr>
          <w:rFonts w:hint="cs"/>
          <w:rtl/>
        </w:rPr>
        <w:t xml:space="preserve">به این تمایز باید یک قید افزود که در بخش ۵‌.‌۱ شرح داده شد. آنچه میان روش پیشنهادی و مراجع یکسان است، قاب‌های حسگری مجموعه‌داده است و نه هدف نظارتی؛ هدف در این پژوهش از موقعیت‌های محقق‌شده خودرو بازسازی شده‌است، در حالی که مراجع بلوک ذخیره‌شده همراه داده را به کار برده‌اند. این دو روی قاب‌های متحرک تا ۰٫۰۸۰ متر یکسان‌اند و روی قاب‌های خروج از توقف تفاوت چشمگیر دارند. بنابراین «داده یکسان» در این پایان‌نامه به‌معنای ورودی یکسان است و نه نظارت یکسان، و این خود یکی از عوامل مزاحمی است که در تفسیر جدول مقایسه باید در نظر گرفته شود.</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همراه با شواهد تجربی مبنی بر اینکه استواری در برابر خرابی حسگر از ترکیب چندوجهی به‌خودی‌خود حاصل نمی‌شود و باید صریحاً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 و</w:t>
      </w:r>
    </w:p>
    <w:p>
      <w:pPr>
        <w:pStyle w:val="Bulet"/>
      </w:pPr>
      <w:r>
        <w:rPr>
          <w:rFonts w:hint="cs"/>
          <w:rtl/>
        </w:rPr>
        <w:t xml:space="preserve">نشان‌دادن اینکه تعریف هدف نظارتی، اثری بر رفتار حلقه‌بسته دارد که معیارهای متداول حلقه‌باز از آشکارکردن آن ناتوان‌اند، همراه با آزمون کم‌هزینه‌ای برای سنجش آن — مقایسه هدف ذخیره‌شده با موقعیت محقق‌شده خودرو — و اندازه‌گیری این اثر روی یک مجموعه‌داده مرجع پرکاربرد؛ یافته‌ای که به نظر نگارنده بخشی از شکاف گزارش‌شده میان ارزیابی حلقه‌باز و حلقه‌بسته [25] را توضیح می‌دهد.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r>
        <w:rPr>
          <w:rFonts w:hint="cs"/>
          <w:rtl/>
        </w:rPr>
        <w:t xml:space="preserve">سه محدودیت دیگر مستقیماً بر تفسیر اعداد فصل پنجم اثر می‌گذارند و باید جداگانه ذکر شوند. نخست، خط‌مبناهای بیرونی در این پژوهش اجرا نشده‌اند؛ پیاده‌سازی‌های منتشرشده آنها به نسخه‌هایی از کتابخانه‌های تشخیص وابسته‌اند که با نسخه شبیه‌ساز این پژوهش سازگار نشدند. آنچه یکسان شده داده، محک و امتیازدهی است و نه اجرای هم‌زمان.</w:t>
      </w:r>
    </w:p>
    <w:p>
      <w:r>
        <w:rPr>
          <w:rFonts w:hint="cs"/>
          <w:rtl/>
        </w:rPr>
        <w:t xml:space="preserve">دوم، نسخه شبیه‌ساز. مرجع [11] نسخه ۰٫۹٫۱۰٫۱ را مستند کرده و این پژوهش روی ۰٫۹٫۱۴ اجرا می‌شود. اعتبارسنجی زنجیره ارزیابی (بخش ۵‌.‌۲) نشان داد که ضریب تخلفات با اختلاف ۰٫۰۰۶ بازتولید می‌شود اما نرخ تکمیل مسیر بازتولید نمی‌شود، زیرا مدیر ترافیک میان دو نسخه بازنویسی شده و در تراکم بالای </w:t>
      </w:r>
      <w:r>
        <w:t xml:space="preserve">Longest6</w:t>
      </w:r>
      <w:r>
        <w:rPr>
          <w:rFonts w:hint="cs"/>
          <w:rtl/>
        </w:rPr>
        <w:t xml:space="preserve"> بیشتر به قفل‌شدگی می‌انجامد. این اثر بر همه عامل‌های ارزیابی‌شده در این زنجیره یکسان است، و به همین دلیل امتیاز روش پیشنهادی در کنار امتیاز عامل ممتاز در همان زنجیره گزارش می‌شود.</w:t>
      </w:r>
    </w:p>
    <w:p>
      <w:r>
        <w:rPr>
          <w:rFonts w:hint="cs"/>
          <w:rtl/>
        </w:rPr>
        <w:t xml:space="preserve">سوم، تقسیم داده. شهر </w:t>
      </w:r>
      <w:r>
        <w:t xml:space="preserve">Town05</w:t>
      </w:r>
      <w:r>
        <w:rPr>
          <w:rFonts w:hint="cs"/>
          <w:rtl/>
        </w:rPr>
        <w:t xml:space="preserve"> به‌طور کامل از آموزش کنار گذاشته شد تا اعتبارسنجی، تعمیم به چیدمان دیده‌نشده را بسنجد؛ اما شش مسیر از سی‌وشش مسیر </w:t>
      </w:r>
      <w:r>
        <w:t xml:space="preserve">Longest6</w:t>
      </w:r>
      <w:r>
        <w:rPr>
          <w:rFonts w:hint="cs"/>
          <w:rtl/>
        </w:rPr>
        <w:t xml:space="preserve"> در همین شهر قرار دارند، در حالی که خط‌مبناهای مرجع روی همه هشت شهر آموزش دیده‌اند. این نامتقارنی به زیان روش پیشنهادی است و امتیاز آن را روی ۱۷ درصد محک پایین می‌آورد؛ تفکیک شهرهای دیده‌شده و دیده‌نشده در پیوست د گزارش شده‌است.</w:t>
      </w:r>
    </w:p>
    <w:p>
      <w:r>
        <w:rPr>
          <w:rFonts w:hint="cs"/>
          <w:rtl/>
        </w:rPr>
        <w:t xml:space="preserve">چهارم، هدف نظارتی. بازسازی برچسب از موقعیت‌های محقق‌شده (بخش ۵‌.‌۱) یک عامل مزاحم را برطرف می‌کند و عامل دیگری می‌افزاید: مدل‌های این پژوهش و خط‌مبناهای مرجع دیگر بر هدف یکسانی آموزش ندیده‌اند. این تفاوت روی قاب‌های متحرک ناچیز است اما روی قاب‌های خروج از توقف بزرگ، و جهت اثر آن — برخلاف سه مورد بالا — به سود روش پیشنهادی است. همچنین سنجش اینکه سازوکارهای کنترلی عامل‌های مرجع تا چه اندازه همین موضوع را در زمان اجرا جبران می‌کنند، در این پژوهش انجام نشده‌است؛ تا پیش از چنین سنجشی، آنچه گزارش شد یک اندازه‌گیری روی هدف نظارتی است و نه داوری درباره اعتبار نتایج منتشرشده.</w:t>
      </w:r>
    </w:p>
    <w:p>
      <w:pPr>
        <w:pStyle w:val="Heading2"/>
      </w:pPr>
      <w:r>
        <w:rPr>
          <w:rFonts w:hint="cs"/>
          <w:rtl/>
        </w:rPr>
        <w:t xml:space="preserve">پیشنهادها برای ادامه کار</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 و</w:t>
      </w:r>
    </w:p>
    <w:p>
      <w:pPr>
        <w:pStyle w:val="Bulet"/>
      </w:pPr>
      <w:r>
        <w:rPr>
          <w:rFonts w:hint="cs"/>
          <w:rtl/>
        </w:rPr>
        <w:t xml:space="preserve">سنجش سهم تعریف هدف نظارتی در شکاف حلقه‌باز-حلقه‌بسته به‌صورت مستقل: آموزش یک معماری ثابت روی دو تعریف از هدف و مقایسه امتیاز رانندگی آنها، و نیز اندازه‌گیری اینکه سازوکارهای کنترلی خروج از توقف در عامل‌های مرجع تا چه اندازه این اثر را در زمان اجرا جبران می‌کنند.</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∓۶۰°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۶۴ خط، برد ۸۵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r>
        <w:rPr>
          <w:rFonts w:hint="cs"/>
          <w:rtl/>
        </w:rPr>
        <w:t xml:space="preserve">نکته‌ای عملی که برای بازتولید این کار ضروری است: شبیه‌ساز در اجراهای چندساعته پایدار نمی‌ماند. جمع‌آوری هر مسیر ده‌ها بازیگر (خودروهای ترافیک، عابران پیاده و نُه حسگر) می‌سازد و نابود می‌کند، و انباشت حافظه ناشی از این چرخه، فرایند سرور را پس از چند ساعت با خطای قطعه‌بندی حافظه از کار می‌اندازد؛ در جمع‌آوری این پژوهش، سه نمونه از چهار نمونه موازی پس از سه تا شش ساعت به این شکل متوقف شدند. این رفتار با احتیاط در سمت کلاینت قابل پیشگیری نیست، بنابراین فرایند جمع‌آوری زیر نظر یک ناظر بیرونی اجرا شد که سه وظیفه دارد: بازیافت پیشگیرانه نمونه شبیه‌ساز پس از هر پانزده مسیر (پیش از آنکه انباشت حافظه به آستانه سقوط برسد)، بازسازی خودکار نمونه در صورت توقف، و ازسرگیری جمع‌آوری از نخستین شماره مسیر استفاده‌نشده. نکته آخر اهمیت ویژه دارد، زیرا شرایط جوی هر مسیر از باقیمانده شماره آن بر تعداد شرایط تعیین می‌شود و ازسرگیری با شماره نادرست، چرخه چهارده‌گانه جوی را بر هم می‌زد.</w:t>
      </w:r>
    </w:p>
    <w:p/>
    <w:p>
      <w:pPr>
        <w:pStyle w:val="NormalB"/>
      </w:pPr>
      <w:r>
        <w:rPr>
          <w:rFonts w:hint="cs"/>
          <w:rtl/>
        </w:rPr>
        <w:t xml:space="preserve">پیوست ج: راستی‌آزمایی پیاده‌سازی</w:t>
      </w:r>
    </w:p>
    <w:p>
      <w:r>
        <w:rPr>
          <w:rFonts w:hint="cs"/>
          <w:rtl/>
        </w:rPr>
        <w:t xml:space="preserve">در یک سامانه انتها-به-انتها، دسته‌ای از خطاها وجود دارد که بدون هیچ پیام خطایی اجرا می‌شوند، عددی کاملاً موجه تولید می‌کنند و تنها در رفتار نهایی سامانه بروز می‌کنند. خطاهای قرارداد مختصات، واحد و چیدمان حسگر همگی از این دسته‌اند. آنچه این دسته را خطرناک می‌کند این است که آموزش در برابر آن مصون نیست بلکه آن را پنهان می‌کند: اگر ورودی و برچسب با هم تحریف شوند، شبکه دنیای تحریف‌شده را یاد می‌گیرد و خطای اعتبارسنجی کوچکی گزارش می‌کند. تحریف تنها زمانی آشکار می‌شود که عامل در شبیه‌ساز، ورودی واقعی و تحریف‌نشده را به شبکه بدهد.</w:t>
      </w:r>
    </w:p>
    <w:p>
      <w:r>
        <w:rPr>
          <w:rFonts w:hint="cs"/>
          <w:rtl/>
        </w:rPr>
        <w:t xml:space="preserve">راستی‌آزمایی معمول در برابر این دسته ناتوان است، زیرا هر مسیر را در برابر معکوس خودش می‌آزماید و معکوس همان اشتباه را حمل می‌کند. اصل روشی که در این پژوهش به کار رفت این است که هر قرارداد به مرجعی </w:t>
      </w:r>
      <w:r>
        <w:rPr>
          <w:rFonts w:hint="cs"/>
          <w:b/>
          <w:bCs/>
          <w:rtl/>
        </w:rPr>
        <w:t xml:space="preserve">بیرون از هر دو مسیر کد</w:t>
      </w:r>
      <w:r>
        <w:rPr>
          <w:rFonts w:hint="cs"/>
          <w:rtl/>
        </w:rPr>
        <w:t xml:space="preserve"> لنگر انداخته شود. سه گونه چنین مرجعی به کار رفت:</w:t>
      </w:r>
    </w:p>
    <w:p>
      <w:r>
        <w:rPr>
          <w:rFonts w:hint="cs"/>
          <w:rtl/>
        </w:rPr>
        <w:t xml:space="preserve">نشانه فیزیکی. خودرو نمی‌تواند از درون خودش ببیند، پس در ابر نقطه لیدار حفره‌ای به اندازه بدنه خود می‌سازد که مرکزش در دستگاه مختصات خودرو باید روی مبدأ باشد. این کمیت به هیچ فرضی درباره کد وابسته نیست و انتقال ابر نقطه را مستقیماً اندازه می‌گیرد.</w:t>
      </w:r>
    </w:p>
    <w:p>
      <w:r>
        <w:rPr>
          <w:rFonts w:hint="cs"/>
          <w:rtl/>
        </w:rPr>
        <w:t xml:space="preserve">توافق بین‌وجهی. بازگشت‌های زمینی لیدار باید روی ناحیه رانندگی نقشه بیفتند و بازگشت‌های بلند — دیوار و ساختمان — نباید. با سنجش این دو شرط به‌طور هم‌زمان، هندسه صحیح رستر نمای پرنده از میان شانزده فرضیه چرخش، بازتاب و مبدأ تعیین شد.</w:t>
      </w:r>
    </w:p>
    <w:p>
      <w:r>
        <w:rPr>
          <w:rFonts w:hint="cs"/>
          <w:rtl/>
        </w:rPr>
        <w:t xml:space="preserve">هم‌ارزی عددی. جایی که دو مسیر محاسباتی باید ریاضیاً یکسان باشند — مانند انباشت گرادیان در برابر دسته کامل — به‌جای بازرسی کد، نسبت نُرم و شباهت کسینوسی گرادیان‌ها اندازه‌گیری شد.</w:t>
      </w:r>
    </w:p>
    <w:p>
      <w:r>
        <w:rPr>
          <w:rFonts w:hint="cs"/>
          <w:rtl/>
        </w:rPr>
        <w:t xml:space="preserve">یک نکته درباره خودِ سنجه‌ها نیز آموختنی بود و ثبت آن می‌تواند برای پژوهش‌های بعدی مفید باشد: پیش از باور کردن نتیجه یک آزمون، باید نشان داد که آن آزمون توان تفکیک دارد. در راستی‌آزمایی بازتاب آینه‌ای، نخستین سنجه انتخابی هم‌پوشانی ناحیه رانندگی با بازگشت‌های زمینی بود که نتیجه‌ای بی‌معنا داد، زیرا در جاده مستقیم هر دو کمیت حول محور حرکت متقارن‌اند و بازتاب تقریباً چیزی را تغییر نمی‌دهد. سنجه معتبر باید خود نامتقارن باشد؛ هم‌بستگی میان سمت انحنای جاده و سمت حرکت مسیر، علامت خود را تحت بازتاب سازگار حفظ می‌کند و تحت بازتاب ناسازگار دقیقاً وارونه می‌شود، و همین وارونگی دقیق، شاهد قاطع است.</w:t>
      </w:r>
    </w:p>
    <w:p>
      <w:r>
        <w:rPr>
          <w:rFonts w:hint="cs"/>
          <w:rtl/>
        </w:rPr>
        <w:t xml:space="preserve">هر یک از این آزمون‌ها به‌صورت ابزار اجرایی در مخزن کد پژوهش نگهداری می‌شود تا پیش از هر اجرای آموزشی قابل تکرار باشد، و نه به‌صورت بازرسی یک‌باره.</w:t>
      </w:r>
    </w:p>
    <w:p/>
    <w:p>
      <w:pPr>
        <w:pStyle w:val="NormalB"/>
      </w:pPr>
      <w:r>
        <w:rPr>
          <w:rFonts w:hint="cs"/>
          <w:rtl/>
        </w:rPr>
        <w:t xml:space="preserve">پیوست د: نتایج تفکیکی مسیرهای ارزیابی</w:t>
      </w:r>
    </w:p>
    <w:p>
      <w:r>
        <w:rPr>
          <w:rFonts w:hint="cs"/>
          <w:rtl/>
        </w:rPr>
        <w:t xml:space="preserve">اعتبارسنجی زنجیره ارزیابی در برابر عامل ممتاز مرجع در بخش ۵‌.‌۲ گزارش شده‌است. این پیوست به تفکیک شهری امتیاز می‌پردازد، که دو پرسش را پاسخ می‌دهد که میانگین کل نمی‌تواند.</w:t>
      </w:r>
    </w:p>
    <w:p>
      <w:r>
        <w:rPr>
          <w:rFonts w:hint="cs"/>
          <w:rtl/>
        </w:rPr>
        <w:t xml:space="preserve">پرسش نخست، شکاف تعمیم است. چنان‌که در بخش ۵‌.‌۱ آمد، شهر </w:t>
      </w:r>
      <w:r>
        <w:t xml:space="preserve">Town05</w:t>
      </w:r>
      <w:r>
        <w:rPr>
          <w:rFonts w:hint="cs"/>
          <w:rtl/>
        </w:rPr>
        <w:t xml:space="preserve"> از آموزش کنار گذاشته شده در حالی که شش مسیر از سی‌وشش مسیر محک در همان شهر قرار دارند. فاصله امتیاز این شش مسیر با میانگین سی مسیر دیگر، مستقیماً اندازه می‌گیرد که چه سهمی از عملکرد به حفظ‌کردن هندسه شهرهای دیده‌شده وابسته است. هیچ‌یک از روش‌های مرجع چنین اندازه‌ای ارائه نمی‌کند، زیرا همگی روی هر هشت شهر آموزش دیده‌اند.</w:t>
      </w:r>
    </w:p>
    <w:p>
      <w:r>
        <w:rPr>
          <w:rFonts w:hint="cs"/>
          <w:rtl/>
        </w:rPr>
        <w:t xml:space="preserve">پرسش دوم، نظام‌مندبودن اختلاف میان دو پیکربندی روش پیشنهادی است. جدول پ-2 امتیاز رانندگی را به تفکیک شهرهای مجموعه </w:t>
      </w:r>
      <w:r>
        <w:t xml:space="preserve">Longest6</w:t>
      </w:r>
      <w:r>
        <w:rPr>
          <w:rFonts w:hint="cs"/>
          <w:rtl/>
        </w:rPr>
        <w:t xml:space="preserve"> برای دو پیکربندی روش پیشنهادی گزارش می‌کند: خوانش میانگین‌گیری با شبکه بازگشتی، و خوانش پرسش‌محور بخش ۴‌.‌۵. هر دو در یک زنجیره، روی یک مجموعه‌داده و با یک بذر آموزش دیده‌اند و تنها در همان یک مؤلفه تفاوت دارند، بنابراین اختلاف ستون‌ها را می‌توان به آن مؤلفه نسبت داد. تفکیک شهری برای روش‌های مرجع در دسترس نیست، زیرا چنان‌که در بخش ۵‌.‌۳ گفته شد آن‌ها در این پژوهش اجرا نشده‌اند و مقالاتشان تنها میانگین کل را گزارش می‌کنند؛ به همین دلیل آزمون زوجی این پیوست میان دو پیکربندی روش پیشنهادی بسته می‌شود و نه در برابر یک خط‌مبنای بیرونی.</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rPr>
                <w:rFonts w:hint="cs"/>
                <w:rtl/>
              </w:rPr>
              <w:t xml:space="preserve">خوانش میانگین</w:t>
            </w:r>
          </w:p>
        </w:tc>
        <w:tc>
          <w:tcPr>
            <w:tcW w:w="1450" w:type="dxa"/>
            <w:vAlign w:val="center"/>
          </w:tcPr>
          <w:p>
            <w:pPr>
              <w:pStyle w:val="InTableCB"/>
            </w:pPr>
            <w:r>
              <w:rPr>
                <w:rFonts w:hint="cs"/>
                <w:rtl/>
              </w:rPr>
              <w:t xml:space="preserve">خوانش پرسش‌محور</w:t>
            </w:r>
          </w:p>
        </w:tc>
        <w:tc>
          <w:tcPr>
            <w:tcW w:w="1450" w:type="dxa"/>
            <w:vAlign w:val="center"/>
          </w:tcPr>
          <w:p>
            <w:pPr>
              <w:pStyle w:val="InTableCB"/>
            </w:pPr>
            <w:r>
              <w:rPr>
                <w:rFonts w:hint="cs"/>
                <w:rtl/>
              </w:rPr>
              <w:t xml:space="preserve">اختلاف</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bl>
    <w:p/>
    <w:p>
      <w:r>
        <w:rPr>
          <w:rFonts w:hint="cs"/>
          <w:rtl/>
        </w:rPr>
        <w:t xml:space="preserve">دو پرسش از این تفکیک پاسخ می‌گیرد. نخست، شکاف تعمیم: </w:t>
      </w:r>
      <w:r>
        <w:t xml:space="preserve">Town05</w:t>
      </w:r>
      <w:r>
        <w:rPr>
          <w:rFonts w:hint="cs"/>
          <w:rtl/>
        </w:rPr>
        <w:t xml:space="preserve"> در آموزش دیده نشده‌است، و فاصله امتیاز آن با میانگین پنج شهر دیده‌شده نشان می‌دهد چه سهمی از عملکرد به حفظ‌کردن هندسه شهرهای آموزشی وابسته است و چه سهمی به تعمیم. دوم، نظام‌مندبودن اختلاف دو خوانش: آزمون </w:t>
      </w:r>
      <m:oMath xmlns:m="http://schemas.openxmlformats.org/officeDocument/2006/math">
        <m:r>
          <m:t>t</m:t>
        </m:r>
      </m:oMath>
      <w:r>
        <w:rPr>
          <w:rFonts w:hint="cs"/>
          <w:rtl/>
        </w:rPr>
        <w:t xml:space="preserve"> زوجی روی شش اختلاف شهری، توان آماری بسیار بیشتری از مقایسه میانگین‌های کل دارد، زیرا واریانس ناشی از دشواری متفاوت شهرها را حذف می‌کند. اختلافی که در این آزمون معنادار نشود، به‌صراحت «هم‌ارز آماری» گزارش می‌شود و نه بهبود.</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which is competitive with published results for TransFuser, InterFuser and ReasonNet, while using the fewest parameters (27.9 M at inference) among the multimodal baselines and running in 14.8 ms per frame on an A100. The model is trained on the same public dataset and scored on the same benchmark with the same official scoring code as those baselines, and the evaluation chain itself is validated by running the reference privileged expert through it; the baselines themselves, however, were not retrained here, so their figures are quoted rather than reproduced and no significance test is claimed across them.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Inertia Problem</w:t>
      </w:r>
    </w:p>
  </w:footnote>
  <w:footnote w:id="50">
    <w:p>
      <w:pPr>
        <w:pStyle w:val="FootnoteText"/>
        <w:bidi w:val="0"/>
      </w:pPr>
      <w:r>
        <w:rPr>
          <w:rStyle w:val="FootnoteReference"/>
        </w:rPr>
        <w:footnoteRef/>
      </w:r>
      <w:r>
        <w:t xml:space="preserve"> Dropout</w:t>
      </w:r>
    </w:p>
  </w:footnote>
  <w:footnote w:id="51">
    <w:p>
      <w:pPr>
        <w:pStyle w:val="FootnoteText"/>
        <w:bidi w:val="0"/>
      </w:pPr>
      <w:r>
        <w:rPr>
          <w:rStyle w:val="FootnoteReference"/>
        </w:rPr>
        <w:footnoteRef/>
      </w:r>
      <w:r>
        <w:t xml:space="preserve"> Covariate Shift</w:t>
      </w:r>
    </w:p>
  </w:footnote>
  <w:footnote w:id="52">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