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1F4E78"/>
          <w:sz w:val="48"/>
        </w:rPr>
        <w:t>PVA Second-Source Supplier Qualification</w:t>
      </w:r>
    </w:p>
    <w:p>
      <w:r>
        <w:rPr>
          <w:color w:val="2E75B6"/>
          <w:sz w:val="28"/>
        </w:rPr>
        <w:t>Status, Economics &amp; Recommendation</w:t>
      </w:r>
    </w:p>
    <w:p>
      <w:pPr>
        <w:spacing w:before="160"/>
      </w:pPr>
      <w:r>
        <w:rPr>
          <w:sz w:val="22"/>
        </w:rPr>
        <w:t>Liquid PVA solution (5TT-11A / 666438 Rev B class) — qualifying a backup toll blender to SNP</w:t>
        <w:br/>
      </w:r>
      <w:r>
        <w:rPr>
          <w:color w:val="808080"/>
          <w:sz w:val="20"/>
        </w:rPr>
        <w:t>Prepared by: Oscar Penny  |  Date: 2026-06-27  |  Status: In Progress — candidates engaged; nothing decided</w:t>
      </w:r>
    </w:p>
    <w:p>
      <w:pPr>
        <w:spacing w:before="240" w:after="80"/>
      </w:pPr>
      <w:r>
        <w:rPr>
          <w:b/>
          <w:color w:val="1F4E78"/>
          <w:sz w:val="30"/>
        </w:rPr>
        <w:t>Executive Summary</w:t>
      </w:r>
    </w:p>
    <w:p>
      <w:pPr>
        <w:spacing w:after="80"/>
      </w:pPr>
      <w:r>
        <w:rPr>
          <w:b w:val="0"/>
          <w:i w:val="0"/>
        </w:rPr>
        <w:t>We are qualifying a second source for our liquid PVA solution to remove a single-source dependency on SNP. After screening a US-only candidate field, the binding constraint proved to be process capability — the product requires a 90–95 °C dissolution cook that most candidates cannot achieve. Two suppliers clear that bar and are actively engaged: CJB Applied Technologies (leading candidate, hard gate confirmed in interview) and APV Engineered Coatings (engaged and seeking pricing). No allocation or award is decided. This report quantifies the cost of keeping a second source across scenarios — different volume splits, second-source price premiums, and the case where SNP raises its price on the reduced volume — so the decision can be made as quotes arrive.</w:t>
      </w:r>
    </w:p>
    <w:tbl>
      <w:tblPr>
        <w:tblStyle w:val="TableGrid"/>
        <w:tblW w:type="auto" w:w="0"/>
        <w:tblLook w:firstColumn="1" w:firstRow="1" w:lastColumn="0" w:lastRow="0" w:noHBand="0" w:noVBand="1" w:val="04A0"/>
      </w:tblPr>
      <w:tblGrid>
        <w:gridCol w:w="4320"/>
        <w:gridCol w:w="4320"/>
      </w:tblGrid>
      <w:tr>
        <w:tc>
          <w:tcPr>
            <w:tcW w:type="dxa" w:w="3744"/>
            <w:shd w:val="clear" w:fill="1F4E78"/>
          </w:tcPr>
          <w:p>
            <w:r>
              <w:rPr>
                <w:b/>
                <w:color w:val="FFFFFF"/>
                <w:sz w:val="19"/>
              </w:rPr>
              <w:t>Metric</w:t>
            </w:r>
          </w:p>
        </w:tc>
        <w:tc>
          <w:tcPr>
            <w:tcW w:type="dxa" w:w="6336"/>
            <w:shd w:val="clear" w:fill="1F4E78"/>
          </w:tcPr>
          <w:p>
            <w:r>
              <w:rPr>
                <w:b/>
                <w:color w:val="FFFFFF"/>
                <w:sz w:val="19"/>
              </w:rPr>
              <w:t>Value</w:t>
            </w:r>
          </w:p>
        </w:tc>
      </w:tr>
      <w:tr>
        <w:tc>
          <w:tcPr>
            <w:tcW w:type="dxa" w:w="3744"/>
          </w:tcPr>
          <w:p>
            <w:r>
              <w:rPr>
                <w:sz w:val="19"/>
              </w:rPr>
              <w:t>Current source</w:t>
            </w:r>
          </w:p>
        </w:tc>
        <w:tc>
          <w:tcPr>
            <w:tcW w:type="dxa" w:w="6336"/>
          </w:tcPr>
          <w:p>
            <w:r>
              <w:rPr>
                <w:sz w:val="19"/>
              </w:rPr>
              <w:t>SNP (sole source) — single-source risk is the driver</w:t>
            </w:r>
          </w:p>
        </w:tc>
      </w:tr>
      <w:tr>
        <w:tc>
          <w:tcPr>
            <w:tcW w:type="dxa" w:w="3744"/>
          </w:tcPr>
          <w:p>
            <w:r>
              <w:rPr>
                <w:sz w:val="19"/>
              </w:rPr>
              <w:t>Total demand</w:t>
            </w:r>
          </w:p>
        </w:tc>
        <w:tc>
          <w:tcPr>
            <w:tcW w:type="dxa" w:w="6336"/>
          </w:tcPr>
          <w:p>
            <w:r>
              <w:rPr>
                <w:sz w:val="19"/>
              </w:rPr>
              <w:t>~1,300 lb finished liquid / week ≈ 2.9 drums/wk ≈ 150 drums/yr</w:t>
            </w:r>
          </w:p>
        </w:tc>
      </w:tr>
      <w:tr>
        <w:tc>
          <w:tcPr>
            <w:tcW w:type="dxa" w:w="3744"/>
          </w:tcPr>
          <w:p>
            <w:r>
              <w:rPr>
                <w:sz w:val="19"/>
              </w:rPr>
              <w:t>Baseline spend (all-SNP)</w:t>
            </w:r>
          </w:p>
        </w:tc>
        <w:tc>
          <w:tcPr>
            <w:tcW w:type="dxa" w:w="6336"/>
          </w:tcPr>
          <w:p>
            <w:r>
              <w:rPr>
                <w:sz w:val="19"/>
              </w:rPr>
              <w:t>~$50,700 / yr @ $0.75/lb ($337.50/drum)</w:t>
            </w:r>
          </w:p>
        </w:tc>
      </w:tr>
      <w:tr>
        <w:tc>
          <w:tcPr>
            <w:tcW w:type="dxa" w:w="3744"/>
          </w:tcPr>
          <w:p>
            <w:r>
              <w:rPr>
                <w:sz w:val="19"/>
              </w:rPr>
              <w:t>Volume cap to 2nd source</w:t>
            </w:r>
          </w:p>
        </w:tc>
        <w:tc>
          <w:tcPr>
            <w:tcW w:type="dxa" w:w="6336"/>
          </w:tcPr>
          <w:p>
            <w:r>
              <w:rPr>
                <w:sz w:val="19"/>
              </w:rPr>
              <w:t>No more than 1 drum/week (~35% of volume, ~52 drums/yr)</w:t>
            </w:r>
          </w:p>
        </w:tc>
      </w:tr>
      <w:tr>
        <w:tc>
          <w:tcPr>
            <w:tcW w:type="dxa" w:w="3744"/>
          </w:tcPr>
          <w:p>
            <w:r>
              <w:rPr>
                <w:sz w:val="19"/>
              </w:rPr>
              <w:t>Cost of a 2nd source (SNP holds price)</w:t>
            </w:r>
          </w:p>
        </w:tc>
        <w:tc>
          <w:tcPr>
            <w:tcW w:type="dxa" w:w="6336"/>
          </w:tcPr>
          <w:p>
            <w:r>
              <w:rPr>
                <w:sz w:val="19"/>
              </w:rPr>
              <w:t>~$6–12k/yr at the proposed $1.00–1.25/lb band (≈$0 at parity)</w:t>
            </w:r>
          </w:p>
        </w:tc>
      </w:tr>
      <w:tr>
        <w:tc>
          <w:tcPr>
            <w:tcW w:type="dxa" w:w="3744"/>
          </w:tcPr>
          <w:p>
            <w:r>
              <w:rPr>
                <w:sz w:val="19"/>
              </w:rPr>
              <w:t>If SNP also raises its price</w:t>
            </w:r>
          </w:p>
        </w:tc>
        <w:tc>
          <w:tcPr>
            <w:tcW w:type="dxa" w:w="6336"/>
          </w:tcPr>
          <w:p>
            <w:r>
              <w:rPr>
                <w:sz w:val="19"/>
              </w:rPr>
              <w:t>Up to ~$24k/yr worst case at the cap (see scenario matrix)</w:t>
            </w:r>
          </w:p>
        </w:tc>
      </w:tr>
      <w:tr>
        <w:tc>
          <w:tcPr>
            <w:tcW w:type="dxa" w:w="3744"/>
          </w:tcPr>
          <w:p>
            <w:r>
              <w:rPr>
                <w:sz w:val="19"/>
              </w:rPr>
              <w:t>Hard gate</w:t>
            </w:r>
          </w:p>
        </w:tc>
        <w:tc>
          <w:tcPr>
            <w:tcW w:type="dxa" w:w="6336"/>
          </w:tcPr>
          <w:p>
            <w:r>
              <w:rPr>
                <w:sz w:val="19"/>
              </w:rPr>
              <w:t>Hold 90–95 °C cook 30–45 min — eliminated ArroChem &amp; ILC Dover</w:t>
            </w:r>
          </w:p>
        </w:tc>
      </w:tr>
      <w:tr>
        <w:tc>
          <w:tcPr>
            <w:tcW w:type="dxa" w:w="3744"/>
          </w:tcPr>
          <w:p>
            <w:r>
              <w:rPr>
                <w:sz w:val="19"/>
              </w:rPr>
              <w:t>Engaged candidates</w:t>
            </w:r>
          </w:p>
        </w:tc>
        <w:tc>
          <w:tcPr>
            <w:tcW w:type="dxa" w:w="6336"/>
          </w:tcPr>
          <w:p>
            <w:r>
              <w:rPr>
                <w:sz w:val="19"/>
              </w:rPr>
              <w:t>CJB (gate cleared 2026-06-26) and APV (pricing requested)</w:t>
            </w:r>
          </w:p>
        </w:tc>
      </w:tr>
      <w:tr>
        <w:tc>
          <w:tcPr>
            <w:tcW w:type="dxa" w:w="3744"/>
          </w:tcPr>
          <w:p>
            <w:r>
              <w:rPr>
                <w:sz w:val="19"/>
              </w:rPr>
              <w:t>Status</w:t>
            </w:r>
          </w:p>
        </w:tc>
        <w:tc>
          <w:tcPr>
            <w:tcW w:type="dxa" w:w="6336"/>
          </w:tcPr>
          <w:p>
            <w:r>
              <w:rPr>
                <w:sz w:val="19"/>
              </w:rPr>
              <w:t>No allocation decided — scenarios kept ready to update as quotes arrive</w:t>
            </w:r>
          </w:p>
        </w:tc>
      </w:tr>
    </w:tbl>
    <w:p>
      <w:pPr>
        <w:spacing w:before="240" w:after="80"/>
      </w:pPr>
      <w:r>
        <w:rPr>
          <w:b/>
          <w:color w:val="1F4E78"/>
          <w:sz w:val="30"/>
        </w:rPr>
        <w:t>1. The Problem: Single-Source Dependency</w:t>
      </w:r>
    </w:p>
    <w:p>
      <w:pPr>
        <w:spacing w:after="80"/>
      </w:pPr>
      <w:r>
        <w:rPr>
          <w:b w:val="0"/>
          <w:i w:val="0"/>
        </w:rPr>
        <w:t>SNP is currently our only supplier of liquid PVA. A disruption at SNP — capacity, quality, or business continuity — would directly interrupt supply with no qualified alternative. The objective is to qualify a backup toll blender able to produce the solution to spec, in 55-gallon drums, as a lower-volume second source running alongside SNP.</w:t>
      </w:r>
    </w:p>
    <w:p>
      <w:pPr>
        <w:pStyle w:val="ListBullet"/>
      </w:pPr>
      <w:r>
        <w:rPr>
          <w:b/>
        </w:rPr>
        <w:t xml:space="preserve">Risk profile: </w:t>
      </w:r>
      <w:r>
        <w:t>a Kraljic 'bottleneck' item: low annual spend but high supply risk — managed as a risk problem, not a cost problem.</w:t>
      </w:r>
    </w:p>
    <w:p>
      <w:pPr>
        <w:pStyle w:val="ListBullet"/>
      </w:pPr>
      <w:r>
        <w:rPr>
          <w:b/>
        </w:rPr>
        <w:t xml:space="preserve">No buffer: </w:t>
      </w:r>
      <w:r>
        <w:t>made fresh to order (18-day shelf life) — there is no inventory buffer to absorb a disruption.</w:t>
      </w:r>
    </w:p>
    <w:p>
      <w:pPr>
        <w:spacing w:before="240" w:after="80"/>
      </w:pPr>
      <w:r>
        <w:rPr>
          <w:b/>
          <w:color w:val="1F4E78"/>
          <w:sz w:val="30"/>
        </w:rPr>
        <w:t>2. The Product and the Hard Gate</w:t>
      </w:r>
    </w:p>
    <w:p>
      <w:pPr>
        <w:spacing w:after="80"/>
      </w:pPr>
      <w:r>
        <w:rPr>
          <w:b w:val="0"/>
          <w:i w:val="0"/>
        </w:rPr>
        <w:t>The product is an aqueous, super-hydrolyzed high-molecular-weight PVA solution (Sekisui Selvol S-1551F-D class), compounded with a small amount of NaCl and pigment, at 10–12% total solids. The defining manufacturing requirement, confirmed by the 5TT-11A bench process and by the resin producers (Sekisui/Kuraray), is a high-temperature cook:</w:t>
      </w:r>
    </w:p>
    <w:p>
      <w:pPr>
        <w:pStyle w:val="ListBullet"/>
      </w:pPr>
      <w:r>
        <w:rPr>
          <w:b/>
        </w:rPr>
        <w:t xml:space="preserve">THE GATE: </w:t>
      </w:r>
      <w:r>
        <w:t>Hold a full batch at 90–95 °C (194–203 °F) for 30–45 minutes under steady agitation.</w:t>
      </w:r>
    </w:p>
    <w:p>
      <w:pPr>
        <w:pStyle w:val="ListBullet"/>
      </w:pPr>
      <w:r>
        <w:rPr>
          <w:b/>
        </w:rPr>
        <w:t xml:space="preserve">Supporting: </w:t>
      </w:r>
      <w:r>
        <w:t>Jacketed, temperature-controlled tank; 316L stainless contact surfaces; agitation that dissolves high-MW PVA without fisheyes/gels; cooling to ≤40 °C; filtration to 200 micron; drum fill.</w:t>
      </w:r>
    </w:p>
    <w:p>
      <w:pPr>
        <w:spacing w:after="80"/>
      </w:pPr>
      <w:r>
        <w:rPr>
          <w:b w:val="0"/>
          <w:i/>
        </w:rPr>
        <w:t>This single requirement is what separates viable candidates from the rest. Acceptance criteria are largely defined (total solids 10–12%, Brookfield method spindle #3/10 RPM/25 °C, CoC per shipment); the one open spec is the viscosity target/tolerance, to be finalized from SNP CoA history.</w:t>
      </w:r>
    </w:p>
    <w:p>
      <w:pPr>
        <w:spacing w:before="240" w:after="80"/>
      </w:pPr>
      <w:r>
        <w:rPr>
          <w:b/>
          <w:color w:val="1F4E78"/>
          <w:sz w:val="30"/>
        </w:rPr>
        <w:t>3. The Cost of Keeping a Second Source</w:t>
      </w:r>
    </w:p>
    <w:p>
      <w:pPr>
        <w:spacing w:after="80"/>
      </w:pPr>
      <w:r>
        <w:rPr>
          <w:b w:val="0"/>
          <w:i w:val="0"/>
        </w:rPr>
        <w:t>Demand is confirmed at ~1,300 lb of finished liquid per week (the basis on which SNP bills, $/lb). Against the all-SNP baseline, the cost of a second source is the 'redundancy premium' — the extra annual spend incurred to carry a backup. It is driven by three levers: how much volume goes to the second source, how much more the second source charges than SNP, and whether SNP raises its price on the reduced volume it retains.</w:t>
      </w:r>
    </w:p>
    <w:tbl>
      <w:tblPr>
        <w:tblStyle w:val="TableGrid"/>
        <w:tblW w:type="auto" w:w="0"/>
        <w:tblLook w:firstColumn="1" w:firstRow="1" w:lastColumn="0" w:lastRow="0" w:noHBand="0" w:noVBand="1" w:val="04A0"/>
      </w:tblPr>
      <w:tblGrid>
        <w:gridCol w:w="4320"/>
        <w:gridCol w:w="4320"/>
      </w:tblGrid>
      <w:tr>
        <w:tc>
          <w:tcPr>
            <w:tcW w:type="dxa" w:w="2880"/>
            <w:shd w:val="clear" w:fill="1F4E78"/>
          </w:tcPr>
          <w:p>
            <w:r>
              <w:rPr>
                <w:b/>
                <w:color w:val="FFFFFF"/>
                <w:sz w:val="19"/>
              </w:rPr>
              <w:t>Line</w:t>
            </w:r>
          </w:p>
        </w:tc>
        <w:tc>
          <w:tcPr>
            <w:tcW w:type="dxa" w:w="6912"/>
            <w:shd w:val="clear" w:fill="1F4E78"/>
          </w:tcPr>
          <w:p>
            <w:r>
              <w:rPr>
                <w:b/>
                <w:color w:val="FFFFFF"/>
                <w:sz w:val="19"/>
              </w:rPr>
              <w:t>Value</w:t>
            </w:r>
          </w:p>
        </w:tc>
      </w:tr>
      <w:tr>
        <w:tc>
          <w:tcPr>
            <w:tcW w:type="dxa" w:w="2880"/>
          </w:tcPr>
          <w:p>
            <w:r>
              <w:rPr>
                <w:sz w:val="19"/>
              </w:rPr>
              <w:t>Total demand</w:t>
            </w:r>
          </w:p>
        </w:tc>
        <w:tc>
          <w:tcPr>
            <w:tcW w:type="dxa" w:w="6912"/>
          </w:tcPr>
          <w:p>
            <w:r>
              <w:rPr>
                <w:sz w:val="19"/>
              </w:rPr>
              <w:t>1,300 lb/wk → 2.9 drums/wk → ~150 drums/yr</w:t>
            </w:r>
          </w:p>
        </w:tc>
      </w:tr>
      <w:tr>
        <w:tc>
          <w:tcPr>
            <w:tcW w:type="dxa" w:w="2880"/>
          </w:tcPr>
          <w:p>
            <w:r>
              <w:rPr>
                <w:sz w:val="19"/>
              </w:rPr>
              <w:t>SNP price</w:t>
            </w:r>
          </w:p>
        </w:tc>
        <w:tc>
          <w:tcPr>
            <w:tcW w:type="dxa" w:w="6912"/>
          </w:tcPr>
          <w:p>
            <w:r>
              <w:rPr>
                <w:sz w:val="19"/>
              </w:rPr>
              <w:t>$0.75/lb → $337.50 / 55-gal drum (~450 lb)</w:t>
            </w:r>
          </w:p>
        </w:tc>
      </w:tr>
      <w:tr>
        <w:tc>
          <w:tcPr>
            <w:tcW w:type="dxa" w:w="2880"/>
          </w:tcPr>
          <w:p>
            <w:r>
              <w:rPr>
                <w:sz w:val="19"/>
              </w:rPr>
              <w:t>Baseline (100% SNP)</w:t>
            </w:r>
          </w:p>
        </w:tc>
        <w:tc>
          <w:tcPr>
            <w:tcW w:type="dxa" w:w="6912"/>
          </w:tcPr>
          <w:p>
            <w:r>
              <w:rPr>
                <w:sz w:val="19"/>
              </w:rPr>
              <w:t>~$50,700 / yr — the reference point</w:t>
            </w:r>
          </w:p>
        </w:tc>
      </w:tr>
    </w:tbl>
    <w:p>
      <w:pPr>
        <w:spacing w:after="40"/>
      </w:pPr>
      <w:r>
        <w:rPr>
          <w:b/>
          <w:i w:val="0"/>
        </w:rPr>
        <w:t>This supplier is capped at no more than 1 drum/week (~35% of volume). Scenario matrix — annual premium over the all-SNP baseline (selected scenarios; full interactive grid on the model's 'Cost of 2nd Source' tab):</w:t>
      </w:r>
    </w:p>
    <w:tbl>
      <w:tblPr>
        <w:tblStyle w:val="TableGrid"/>
        <w:tblW w:type="auto" w:w="0"/>
        <w:tblLook w:firstColumn="1" w:firstRow="1" w:lastColumn="0" w:lastRow="0" w:noHBand="0" w:noVBand="1" w:val="04A0"/>
      </w:tblPr>
      <w:tblGrid>
        <w:gridCol w:w="2160"/>
        <w:gridCol w:w="2160"/>
        <w:gridCol w:w="2160"/>
        <w:gridCol w:w="2160"/>
      </w:tblGrid>
      <w:tr>
        <w:tc>
          <w:tcPr>
            <w:tcW w:type="dxa" w:w="3024"/>
            <w:shd w:val="clear" w:fill="1F4E78"/>
          </w:tcPr>
          <w:p>
            <w:r>
              <w:rPr>
                <w:b/>
                <w:color w:val="FFFFFF"/>
                <w:sz w:val="19"/>
              </w:rPr>
              <w:t>Allocation to 2nd source</w:t>
            </w:r>
          </w:p>
        </w:tc>
        <w:tc>
          <w:tcPr>
            <w:tcW w:type="dxa" w:w="2304"/>
            <w:shd w:val="clear" w:fill="1F4E78"/>
          </w:tcPr>
          <w:p>
            <w:r>
              <w:rPr>
                <w:b/>
                <w:color w:val="FFFFFF"/>
                <w:sz w:val="19"/>
              </w:rPr>
              <w:t>2nd +50% / SNP holds</w:t>
            </w:r>
          </w:p>
        </w:tc>
        <w:tc>
          <w:tcPr>
            <w:tcW w:type="dxa" w:w="2304"/>
            <w:shd w:val="clear" w:fill="1F4E78"/>
          </w:tcPr>
          <w:p>
            <w:r>
              <w:rPr>
                <w:b/>
                <w:color w:val="FFFFFF"/>
                <w:sz w:val="19"/>
              </w:rPr>
              <w:t>2nd +50% / SNP +10%</w:t>
            </w:r>
          </w:p>
        </w:tc>
        <w:tc>
          <w:tcPr>
            <w:tcW w:type="dxa" w:w="2448"/>
            <w:shd w:val="clear" w:fill="1F4E78"/>
          </w:tcPr>
          <w:p>
            <w:r>
              <w:rPr>
                <w:b/>
                <w:color w:val="FFFFFF"/>
                <w:sz w:val="19"/>
              </w:rPr>
              <w:t>2nd +100% / SNP +20%</w:t>
            </w:r>
          </w:p>
        </w:tc>
      </w:tr>
      <w:tr>
        <w:tc>
          <w:tcPr>
            <w:tcW w:type="dxa" w:w="3024"/>
          </w:tcPr>
          <w:p>
            <w:r>
              <w:rPr>
                <w:sz w:val="19"/>
              </w:rPr>
              <w:t>20%  (~0.6 drum/wk)</w:t>
            </w:r>
          </w:p>
        </w:tc>
        <w:tc>
          <w:tcPr>
            <w:tcW w:type="dxa" w:w="2304"/>
          </w:tcPr>
          <w:p>
            <w:r>
              <w:rPr>
                <w:sz w:val="19"/>
              </w:rPr>
              <w:t>$5,070</w:t>
            </w:r>
          </w:p>
        </w:tc>
        <w:tc>
          <w:tcPr>
            <w:tcW w:type="dxa" w:w="2304"/>
          </w:tcPr>
          <w:p>
            <w:r>
              <w:rPr>
                <w:sz w:val="19"/>
              </w:rPr>
              <w:t>$9,126</w:t>
            </w:r>
          </w:p>
        </w:tc>
        <w:tc>
          <w:tcPr>
            <w:tcW w:type="dxa" w:w="2448"/>
          </w:tcPr>
          <w:p>
            <w:r>
              <w:rPr>
                <w:sz w:val="19"/>
              </w:rPr>
              <w:t>$18,252</w:t>
            </w:r>
          </w:p>
        </w:tc>
      </w:tr>
      <w:tr>
        <w:tc>
          <w:tcPr>
            <w:tcW w:type="dxa" w:w="3024"/>
          </w:tcPr>
          <w:p>
            <w:r>
              <w:rPr>
                <w:sz w:val="19"/>
              </w:rPr>
              <w:t>35%  (~1 drum/wk — CAP)</w:t>
            </w:r>
          </w:p>
        </w:tc>
        <w:tc>
          <w:tcPr>
            <w:tcW w:type="dxa" w:w="2304"/>
          </w:tcPr>
          <w:p>
            <w:r>
              <w:rPr>
                <w:sz w:val="19"/>
              </w:rPr>
              <w:t>$8,872</w:t>
            </w:r>
          </w:p>
        </w:tc>
        <w:tc>
          <w:tcPr>
            <w:tcW w:type="dxa" w:w="2304"/>
          </w:tcPr>
          <w:p>
            <w:r>
              <w:rPr>
                <w:sz w:val="19"/>
              </w:rPr>
              <w:t>$12,168</w:t>
            </w:r>
          </w:p>
        </w:tc>
        <w:tc>
          <w:tcPr>
            <w:tcW w:type="dxa" w:w="2448"/>
          </w:tcPr>
          <w:p>
            <w:r>
              <w:rPr>
                <w:sz w:val="19"/>
              </w:rPr>
              <w:t>$24,336</w:t>
            </w:r>
          </w:p>
        </w:tc>
      </w:tr>
    </w:tbl>
    <w:p>
      <w:pPr>
        <w:spacing w:after="80"/>
      </w:pPr>
      <w:r>
        <w:rPr>
          <w:b w:val="0"/>
          <w:i w:val="0"/>
        </w:rPr>
        <w:t>Two takeaways: (1) If SNP holds its price, redundancy is modest — at the proposed $1.00–1.25/lb band and the 1-drum/week cap, roughly $6–12k/yr, and ~$0 at price parity (the ideal but unlikely case). (2) If SNP re-prices the lost volume, the cost climbs — and because that surcharge lands on the larger retained volume, it is often a bigger driver than the second-source premium itself. At the cap, the cost of redundancy ranges ~$0 to ~$24k/yr (worst case = top price plus an SNP increase). Nothing is decided; these scenarios update automatically as real quotes (and any SNP re-price) arrive.</w:t>
      </w:r>
    </w:p>
    <w:p>
      <w:pPr>
        <w:spacing w:before="240" w:after="80"/>
      </w:pPr>
      <w:r>
        <w:rPr>
          <w:b/>
          <w:color w:val="1F4E78"/>
          <w:sz w:val="30"/>
        </w:rPr>
        <w:t>4. Supplier Landscape &amp; Screening</w:t>
      </w:r>
    </w:p>
    <w:p>
      <w:pPr>
        <w:spacing w:after="80"/>
      </w:pPr>
      <w:r>
        <w:rPr>
          <w:b w:val="0"/>
          <w:i w:val="0"/>
        </w:rPr>
        <w:t>A US-only field was screened against two filters: (1) can they hold the 90–95 °C cook, and (2) are they right-sized for small (~1 drum/wk) batches under an 18-day shelf life. The funnel:</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fill="1F4E78"/>
          </w:tcPr>
          <w:p>
            <w:r>
              <w:rPr>
                <w:b/>
                <w:color w:val="FFFFFF"/>
                <w:sz w:val="19"/>
              </w:rPr>
              <w:t>Supplier</w:t>
            </w:r>
          </w:p>
        </w:tc>
        <w:tc>
          <w:tcPr>
            <w:tcW w:type="dxa" w:w="2736"/>
            <w:shd w:val="clear" w:fill="1F4E78"/>
          </w:tcPr>
          <w:p>
            <w:r>
              <w:rPr>
                <w:b/>
                <w:color w:val="FFFFFF"/>
                <w:sz w:val="19"/>
              </w:rPr>
              <w:t>Status</w:t>
            </w:r>
          </w:p>
        </w:tc>
        <w:tc>
          <w:tcPr>
            <w:tcW w:type="dxa" w:w="1872"/>
            <w:shd w:val="clear" w:fill="1F4E78"/>
          </w:tcPr>
          <w:p>
            <w:r>
              <w:rPr>
                <w:b/>
                <w:color w:val="FFFFFF"/>
                <w:sz w:val="19"/>
              </w:rPr>
              <w:t>Holds 90–95 °C?</w:t>
            </w:r>
          </w:p>
        </w:tc>
        <w:tc>
          <w:tcPr>
            <w:tcW w:type="dxa" w:w="2304"/>
            <w:shd w:val="clear" w:fill="1F4E78"/>
          </w:tcPr>
          <w:p>
            <w:r>
              <w:rPr>
                <w:b/>
                <w:color w:val="FFFFFF"/>
                <w:sz w:val="19"/>
              </w:rPr>
              <w:t>Fit</w:t>
            </w:r>
          </w:p>
        </w:tc>
      </w:tr>
      <w:tr>
        <w:tc>
          <w:tcPr>
            <w:tcW w:type="dxa" w:w="3744"/>
          </w:tcPr>
          <w:p>
            <w:r>
              <w:rPr>
                <w:sz w:val="19"/>
              </w:rPr>
              <w:t>CJB Applied Technologies (Valdosta, GA)</w:t>
            </w:r>
          </w:p>
        </w:tc>
        <w:tc>
          <w:tcPr>
            <w:tcW w:type="dxa" w:w="2736"/>
          </w:tcPr>
          <w:p>
            <w:r>
              <w:rPr>
                <w:sz w:val="19"/>
              </w:rPr>
              <w:t>Front-runner — interviewed 06/26</w:t>
            </w:r>
          </w:p>
        </w:tc>
        <w:tc>
          <w:tcPr>
            <w:tcW w:type="dxa" w:w="1872"/>
          </w:tcPr>
          <w:p>
            <w:r>
              <w:rPr>
                <w:sz w:val="19"/>
              </w:rPr>
              <w:t>YES (45 min–1 hr)</w:t>
            </w:r>
          </w:p>
        </w:tc>
        <w:tc>
          <w:tcPr>
            <w:tcW w:type="dxa" w:w="2304"/>
            <w:shd w:val="clear" w:fill="A9D08E"/>
          </w:tcPr>
          <w:p>
            <w:r>
              <w:rPr>
                <w:sz w:val="19"/>
              </w:rPr>
              <w:t>STRONG</w:t>
            </w:r>
          </w:p>
        </w:tc>
      </w:tr>
      <w:tr>
        <w:tc>
          <w:tcPr>
            <w:tcW w:type="dxa" w:w="3744"/>
          </w:tcPr>
          <w:p>
            <w:r>
              <w:rPr>
                <w:sz w:val="19"/>
              </w:rPr>
              <w:t>APV Engineered Coatings (Akron, OH)</w:t>
            </w:r>
          </w:p>
        </w:tc>
        <w:tc>
          <w:tcPr>
            <w:tcW w:type="dxa" w:w="2736"/>
          </w:tcPr>
          <w:p>
            <w:r>
              <w:rPr>
                <w:sz w:val="19"/>
              </w:rPr>
              <w:t>Engaged — pricing requested</w:t>
            </w:r>
          </w:p>
        </w:tc>
        <w:tc>
          <w:tcPr>
            <w:tcW w:type="dxa" w:w="1872"/>
          </w:tcPr>
          <w:p>
            <w:r>
              <w:rPr>
                <w:sz w:val="19"/>
              </w:rPr>
              <w:t>Re-confirm (verbal yes)</w:t>
            </w:r>
          </w:p>
        </w:tc>
        <w:tc>
          <w:tcPr>
            <w:tcW w:type="dxa" w:w="2304"/>
            <w:shd w:val="clear" w:fill="C6EFCE"/>
          </w:tcPr>
          <w:p>
            <w:r>
              <w:rPr>
                <w:sz w:val="19"/>
              </w:rPr>
              <w:t>GOOD</w:t>
            </w:r>
          </w:p>
        </w:tc>
      </w:tr>
      <w:tr>
        <w:tc>
          <w:tcPr>
            <w:tcW w:type="dxa" w:w="3744"/>
          </w:tcPr>
          <w:p>
            <w:r>
              <w:rPr>
                <w:sz w:val="19"/>
              </w:rPr>
              <w:t>Piedmont Chemical (High Point, NC)</w:t>
            </w:r>
          </w:p>
        </w:tc>
        <w:tc>
          <w:tcPr>
            <w:tcW w:type="dxa" w:w="2736"/>
          </w:tcPr>
          <w:p>
            <w:r>
              <w:rPr>
                <w:sz w:val="19"/>
              </w:rPr>
              <w:t>Held in reserve</w:t>
            </w:r>
          </w:p>
        </w:tc>
        <w:tc>
          <w:tcPr>
            <w:tcW w:type="dxa" w:w="1872"/>
          </w:tcPr>
          <w:p>
            <w:r>
              <w:rPr>
                <w:sz w:val="19"/>
              </w:rPr>
              <w:t>Confirm</w:t>
            </w:r>
          </w:p>
        </w:tc>
        <w:tc>
          <w:tcPr>
            <w:tcW w:type="dxa" w:w="2304"/>
            <w:shd w:val="clear" w:fill="C6EFCE"/>
          </w:tcPr>
          <w:p>
            <w:r>
              <w:rPr>
                <w:sz w:val="19"/>
              </w:rPr>
              <w:t>GOOD</w:t>
            </w:r>
          </w:p>
        </w:tc>
      </w:tr>
      <w:tr>
        <w:tc>
          <w:tcPr>
            <w:tcW w:type="dxa" w:w="3744"/>
          </w:tcPr>
          <w:p>
            <w:r>
              <w:rPr>
                <w:sz w:val="19"/>
              </w:rPr>
              <w:t>Columbus Chemical / CCI (WI)</w:t>
            </w:r>
          </w:p>
        </w:tc>
        <w:tc>
          <w:tcPr>
            <w:tcW w:type="dxa" w:w="2736"/>
          </w:tcPr>
          <w:p>
            <w:r>
              <w:rPr>
                <w:sz w:val="19"/>
              </w:rPr>
              <w:t>Held in reserve</w:t>
            </w:r>
          </w:p>
        </w:tc>
        <w:tc>
          <w:tcPr>
            <w:tcW w:type="dxa" w:w="1872"/>
          </w:tcPr>
          <w:p>
            <w:r>
              <w:rPr>
                <w:sz w:val="19"/>
              </w:rPr>
              <w:t>Yes (heat/cool)</w:t>
            </w:r>
          </w:p>
        </w:tc>
        <w:tc>
          <w:tcPr>
            <w:tcW w:type="dxa" w:w="2304"/>
            <w:shd w:val="clear" w:fill="A9D08E"/>
          </w:tcPr>
          <w:p>
            <w:r>
              <w:rPr>
                <w:sz w:val="19"/>
              </w:rPr>
              <w:t>STRONG</w:t>
            </w:r>
          </w:p>
        </w:tc>
      </w:tr>
      <w:tr>
        <w:tc>
          <w:tcPr>
            <w:tcW w:type="dxa" w:w="3744"/>
          </w:tcPr>
          <w:p>
            <w:r>
              <w:rPr>
                <w:sz w:val="19"/>
              </w:rPr>
              <w:t>CORECHEM (Knoxville, TN)</w:t>
            </w:r>
          </w:p>
        </w:tc>
        <w:tc>
          <w:tcPr>
            <w:tcW w:type="dxa" w:w="2736"/>
          </w:tcPr>
          <w:p>
            <w:r>
              <w:rPr>
                <w:sz w:val="19"/>
              </w:rPr>
              <w:t>Reserve — caution</w:t>
            </w:r>
          </w:p>
        </w:tc>
        <w:tc>
          <w:tcPr>
            <w:tcW w:type="dxa" w:w="1872"/>
          </w:tcPr>
          <w:p>
            <w:r>
              <w:rPr>
                <w:sz w:val="19"/>
              </w:rPr>
              <w:t>Confirm</w:t>
            </w:r>
          </w:p>
        </w:tc>
        <w:tc>
          <w:tcPr>
            <w:tcW w:type="dxa" w:w="2304"/>
            <w:shd w:val="clear" w:fill="FFEB9C"/>
          </w:tcPr>
          <w:p>
            <w:r>
              <w:rPr>
                <w:sz w:val="19"/>
              </w:rPr>
              <w:t>CAUTION (250-gal min vs shelf life)</w:t>
            </w:r>
          </w:p>
        </w:tc>
      </w:tr>
      <w:tr>
        <w:tc>
          <w:tcPr>
            <w:tcW w:type="dxa" w:w="3744"/>
          </w:tcPr>
          <w:p>
            <w:r>
              <w:rPr>
                <w:sz w:val="19"/>
              </w:rPr>
              <w:t>ArroChem (Mt. Holly, NC)</w:t>
            </w:r>
          </w:p>
        </w:tc>
        <w:tc>
          <w:tcPr>
            <w:tcW w:type="dxa" w:w="2736"/>
          </w:tcPr>
          <w:p>
            <w:r>
              <w:rPr>
                <w:sz w:val="19"/>
              </w:rPr>
              <w:t>ELIMINATED</w:t>
            </w:r>
          </w:p>
        </w:tc>
        <w:tc>
          <w:tcPr>
            <w:tcW w:type="dxa" w:w="1872"/>
          </w:tcPr>
          <w:p>
            <w:r>
              <w:rPr>
                <w:sz w:val="19"/>
              </w:rPr>
              <w:t>No — 85 °C ceiling</w:t>
            </w:r>
          </w:p>
        </w:tc>
        <w:tc>
          <w:tcPr>
            <w:tcW w:type="dxa" w:w="2304"/>
            <w:shd w:val="clear" w:fill="FFC7CE"/>
          </w:tcPr>
          <w:p>
            <w:r>
              <w:rPr>
                <w:sz w:val="19"/>
              </w:rPr>
              <w:t>ELIMINATED</w:t>
            </w:r>
          </w:p>
        </w:tc>
      </w:tr>
      <w:tr>
        <w:tc>
          <w:tcPr>
            <w:tcW w:type="dxa" w:w="3744"/>
          </w:tcPr>
          <w:p>
            <w:r>
              <w:rPr>
                <w:sz w:val="19"/>
              </w:rPr>
              <w:t>ILC Dover (Frederica, DE)</w:t>
            </w:r>
          </w:p>
        </w:tc>
        <w:tc>
          <w:tcPr>
            <w:tcW w:type="dxa" w:w="2736"/>
          </w:tcPr>
          <w:p>
            <w:r>
              <w:rPr>
                <w:sz w:val="19"/>
              </w:rPr>
              <w:t>ELIMINATED</w:t>
            </w:r>
          </w:p>
        </w:tc>
        <w:tc>
          <w:tcPr>
            <w:tcW w:type="dxa" w:w="1872"/>
          </w:tcPr>
          <w:p>
            <w:r>
              <w:rPr>
                <w:sz w:val="19"/>
              </w:rPr>
              <w:t>No — wrong category</w:t>
            </w:r>
          </w:p>
        </w:tc>
        <w:tc>
          <w:tcPr>
            <w:tcW w:type="dxa" w:w="2304"/>
            <w:shd w:val="clear" w:fill="FFC7CE"/>
          </w:tcPr>
          <w:p>
            <w:r>
              <w:rPr>
                <w:sz w:val="19"/>
              </w:rPr>
              <w:t>ELIMINATED</w:t>
            </w:r>
          </w:p>
        </w:tc>
      </w:tr>
    </w:tbl>
    <w:p>
      <w:pPr>
        <w:spacing w:after="80"/>
      </w:pPr>
      <w:r>
        <w:rPr>
          <w:b w:val="0"/>
          <w:i/>
        </w:rPr>
        <w:t>Dropped as too large / MOQ-mismatched for a single drum: Goulston, 3V Sigma, Royal Chemical (220-gal liquid MOQ), Columbia Chemical. Resin producers (Sekisui, Kuraray) will not sell direct at this volume — raw resin, if ever needed, routes through distributors (Brenntag already stocks Selvol).</w:t>
      </w:r>
    </w:p>
    <w:p>
      <w:pPr>
        <w:spacing w:before="240" w:after="80"/>
      </w:pPr>
      <w:r>
        <w:rPr>
          <w:b/>
          <w:color w:val="1F4E78"/>
          <w:sz w:val="30"/>
        </w:rPr>
        <w:t>5. Why We Are Advancing APV and CJB</w:t>
      </w:r>
    </w:p>
    <w:p>
      <w:pPr>
        <w:spacing w:after="80"/>
      </w:pPr>
      <w:r>
        <w:rPr>
          <w:b w:val="0"/>
          <w:i w:val="0"/>
        </w:rPr>
        <w:t>APV and CJB are the only two candidates that simultaneously satisfy all three conditions that matter for this account:</w:t>
      </w:r>
    </w:p>
    <w:p>
      <w:pPr>
        <w:pStyle w:val="ListBullet"/>
      </w:pPr>
      <w:r>
        <w:rPr>
          <w:b/>
        </w:rPr>
        <w:t xml:space="preserve">Capability: </w:t>
      </w:r>
      <w:r>
        <w:t>they can (or credibly can) hold the 90–95 °C cook — the disqualifier that eliminated everyone else;</w:t>
      </w:r>
    </w:p>
    <w:p>
      <w:pPr>
        <w:pStyle w:val="ListBullet"/>
      </w:pPr>
      <w:r>
        <w:rPr>
          <w:b/>
        </w:rPr>
        <w:t xml:space="preserve">Batch fit: </w:t>
      </w:r>
      <w:r>
        <w:t>they run small batches (CJB from 40 gal / will do a single drum; APV from 5 gal) — right-sized for ~1 drum/wk under the 18-day shelf life;</w:t>
      </w:r>
    </w:p>
    <w:p>
      <w:pPr>
        <w:pStyle w:val="ListBullet"/>
      </w:pPr>
      <w:r>
        <w:rPr>
          <w:b/>
        </w:rPr>
        <w:t xml:space="preserve">Willingness: </w:t>
      </w:r>
      <w:r>
        <w:t>both are genuinely interested in the business — a low-volume account that many larger blenders would decline.</w:t>
      </w:r>
    </w:p>
    <w:p>
      <w:pPr>
        <w:spacing w:after="80"/>
      </w:pPr>
      <w:r>
        <w:rPr>
          <w:b/>
          <w:i w:val="0"/>
        </w:rPr>
        <w:t>CJB — front-runner.</w:t>
      </w:r>
    </w:p>
    <w:p>
      <w:pPr>
        <w:pStyle w:val="ListBullet"/>
      </w:pPr>
      <w:r>
        <w:t>Interview 2026-06-26 cleared the hard gate outright: holds 90–95 °C for 45 min–1 hr, jacketed 316L, agitation with no fisheyes, cools to ≤40 °C, and has prior high-MW PVA experience.</w:t>
      </w:r>
    </w:p>
    <w:p>
      <w:pPr>
        <w:pStyle w:val="ListBullet"/>
      </w:pPr>
      <w:r>
        <w:t>Ideal logistics: 40-gal minimum (will do a single 55-gal drum), can lab-batch for qualification, 3–4 day lead time (or overnight), flexible packaging.</w:t>
      </w:r>
    </w:p>
    <w:p>
      <w:pPr>
        <w:pStyle w:val="ListBullet"/>
      </w:pPr>
      <w:r>
        <w:t>Bonus: an ex-Lonza (Proxel) formulator on staff — directly relevant to our biocide step.</w:t>
      </w:r>
    </w:p>
    <w:p>
      <w:pPr>
        <w:pStyle w:val="ListBullet"/>
      </w:pPr>
      <w:r>
        <w:t>Open: NDA on process (in work with McC) before full spec; firm Option A/B pricing not yet quoted.</w:t>
      </w:r>
    </w:p>
    <w:p>
      <w:pPr>
        <w:spacing w:after="80"/>
      </w:pPr>
      <w:r>
        <w:rPr>
          <w:b/>
          <w:i w:val="0"/>
        </w:rPr>
        <w:t>APV — strong second / competitive tension.</w:t>
      </w:r>
    </w:p>
    <w:p>
      <w:pPr>
        <w:pStyle w:val="ListBullet"/>
      </w:pPr>
      <w:r>
        <w:t>Engaged and interested; runs very small batches (from 5 gal); pigment-dispersion is a house specialty (useful for our colorants); ISO 9001 / EPA-registered.</w:t>
      </w:r>
    </w:p>
    <w:p>
      <w:pPr>
        <w:pStyle w:val="ListBullet"/>
      </w:pPr>
      <w:r>
        <w:t>Asked for pricing guidance early — a sign they are sizing the account's economics, consistent with their mid-size scale.</w:t>
      </w:r>
    </w:p>
    <w:p>
      <w:pPr>
        <w:pStyle w:val="ListBullet"/>
      </w:pPr>
      <w:r>
        <w:t>Open: re-confirm the 90–95 °C hold; provide a per-drum benchmark envelope.</w:t>
      </w:r>
    </w:p>
    <w:p>
      <w:pPr>
        <w:spacing w:after="80"/>
      </w:pPr>
      <w:r>
        <w:rPr>
          <w:b/>
          <w:i w:val="0"/>
          <w:color w:val="2E75B6"/>
        </w:rPr>
        <w:t>Strategic rationale for keeping both warm.</w:t>
      </w:r>
    </w:p>
    <w:p>
      <w:pPr>
        <w:spacing w:after="80"/>
      </w:pPr>
      <w:r>
        <w:rPr>
          <w:b w:val="0"/>
          <w:i w:val="0"/>
        </w:rPr>
        <w:t>As a small, low-attractiveness account (Kraljic 'bottleneck'; likely a 'nuisance' account to a blender via supplier-preferencing analysis), our structural negotiating leverage is weak. Two qualified, interested suppliers is the single most effective lever available: it disciplines pricing and protects continuity without overplaying a volume we do not have. We therefore advance CJB as front-runner while keeping APV in genuine competition rather than as a courtesy.</w:t>
      </w:r>
    </w:p>
    <w:p>
      <w:pPr>
        <w:spacing w:before="240" w:after="80"/>
      </w:pPr>
      <w:r>
        <w:rPr>
          <w:b/>
          <w:color w:val="1F4E78"/>
          <w:sz w:val="30"/>
        </w:rPr>
        <w:t>6. Low-Volume Sourcing Strategy</w:t>
      </w:r>
    </w:p>
    <w:p>
      <w:pPr>
        <w:pStyle w:val="ListBullet"/>
      </w:pPr>
      <w:r>
        <w:rPr>
          <w:b/>
        </w:rPr>
        <w:t xml:space="preserve">Positioning: </w:t>
      </w:r>
      <w:r>
        <w:t>Sell the relationship, not the volume — qualified, recurring, blue-chip, low-touch, room to grow.</w:t>
      </w:r>
    </w:p>
    <w:p>
      <w:pPr>
        <w:pStyle w:val="ListBullet"/>
      </w:pPr>
      <w:r>
        <w:rPr>
          <w:b/>
        </w:rPr>
        <w:t xml:space="preserve">Pricing unit: </w:t>
      </w:r>
      <w:r>
        <w:t>Quote per 55-gal drum, volume-agnostic, framed as a recurring rotation — avoids the small-annual-number anchor that triggers nuisance pricing.</w:t>
      </w:r>
    </w:p>
    <w:p>
      <w:pPr>
        <w:pStyle w:val="ListBullet"/>
      </w:pPr>
      <w:r>
        <w:rPr>
          <w:b/>
        </w:rPr>
        <w:t xml:space="preserve">Brand lever: </w:t>
      </w:r>
      <w:r>
        <w:t>Use the Intuitive name for credibility and payment reliability, but set volume expectations at the division level so quotes stay realistic.</w:t>
      </w:r>
    </w:p>
    <w:p>
      <w:pPr>
        <w:pStyle w:val="ListBullet"/>
      </w:pPr>
      <w:r>
        <w:rPr>
          <w:b/>
        </w:rPr>
        <w:t xml:space="preserve">Cost-to-serve: </w:t>
      </w:r>
      <w:r>
        <w:t>Be the easy customer — clean specs, predictable cadence, prompt payment — to lower their cost-to-serve.</w:t>
      </w:r>
    </w:p>
    <w:p>
      <w:pPr>
        <w:spacing w:before="240" w:after="80"/>
      </w:pPr>
      <w:r>
        <w:rPr>
          <w:b/>
          <w:color w:val="1F4E78"/>
          <w:sz w:val="30"/>
        </w:rPr>
        <w:t>7. Quality &amp; Regulatory Framework</w:t>
      </w:r>
    </w:p>
    <w:p>
      <w:pPr>
        <w:spacing w:after="80"/>
      </w:pPr>
      <w:r>
        <w:rPr>
          <w:b w:val="0"/>
          <w:i w:val="0"/>
        </w:rPr>
        <w:t>As of 2026-02-02 the FDA QMSR is in force, incorporating ISO 13485:2016 by reference; supplier controls now follow ISO 13485 Clause 7.4 (Purchasing), not the legacy 21 CFR 820.50.</w:t>
      </w:r>
    </w:p>
    <w:p>
      <w:pPr>
        <w:pStyle w:val="ListBullet"/>
      </w:pPr>
      <w:r>
        <w:rPr>
          <w:b/>
        </w:rPr>
        <w:t xml:space="preserve">Qualification: </w:t>
      </w:r>
      <w:r>
        <w:t>Risk-proportionate supplier evaluation, monitoring, and re-evaluation (ISO 13485 §7.4.1).</w:t>
      </w:r>
    </w:p>
    <w:p>
      <w:pPr>
        <w:pStyle w:val="ListBullet"/>
      </w:pPr>
      <w:r>
        <w:rPr>
          <w:b/>
        </w:rPr>
        <w:t xml:space="preserve">Methodology: </w:t>
      </w:r>
      <w:r>
        <w:t>Build the file on GHTF/SG3/N17 risk-based methodology with a Carter's 10 Cs scorecard.</w:t>
      </w:r>
    </w:p>
    <w:p>
      <w:pPr>
        <w:pStyle w:val="ListBullet"/>
      </w:pPr>
      <w:r>
        <w:rPr>
          <w:b/>
        </w:rPr>
        <w:t xml:space="preserve">SQA: </w:t>
      </w:r>
      <w:r>
        <w:t>Execute a Supplier Quality Agreement with advance change-notification and right-to-audit (connects to CJB's NDA-on-process step).</w:t>
      </w:r>
    </w:p>
    <w:p>
      <w:pPr>
        <w:pStyle w:val="ListBullet"/>
      </w:pPr>
      <w:r>
        <w:rPr>
          <w:b/>
        </w:rPr>
        <w:t xml:space="preserve">Classification: </w:t>
      </w:r>
      <w:r>
        <w:t>Confirm product classification before invoking ICH Q7 (applies only if API/drug-GMP).</w:t>
      </w:r>
    </w:p>
    <w:p>
      <w:pPr>
        <w:spacing w:before="240" w:after="80"/>
      </w:pPr>
      <w:r>
        <w:rPr>
          <w:b/>
          <w:color w:val="1F4E78"/>
          <w:sz w:val="30"/>
        </w:rPr>
        <w:t>8. Open Items &amp; Next Steps</w:t>
      </w:r>
    </w:p>
    <w:tbl>
      <w:tblPr>
        <w:tblStyle w:val="TableGrid"/>
        <w:tblW w:type="auto" w:w="0"/>
        <w:tblLook w:firstColumn="1" w:firstRow="1" w:lastColumn="0" w:lastRow="0" w:noHBand="0" w:noVBand="1" w:val="04A0"/>
      </w:tblPr>
      <w:tblGrid>
        <w:gridCol w:w="2880"/>
        <w:gridCol w:w="2880"/>
        <w:gridCol w:w="2880"/>
      </w:tblGrid>
      <w:tr>
        <w:tc>
          <w:tcPr>
            <w:tcW w:type="dxa" w:w="576"/>
            <w:shd w:val="clear" w:fill="1F4E78"/>
          </w:tcPr>
          <w:p>
            <w:r>
              <w:rPr>
                <w:b/>
                <w:color w:val="FFFFFF"/>
                <w:sz w:val="19"/>
              </w:rPr>
              <w:t>#</w:t>
            </w:r>
          </w:p>
        </w:tc>
        <w:tc>
          <w:tcPr>
            <w:tcW w:type="dxa" w:w="6624"/>
            <w:shd w:val="clear" w:fill="1F4E78"/>
          </w:tcPr>
          <w:p>
            <w:r>
              <w:rPr>
                <w:b/>
                <w:color w:val="FFFFFF"/>
                <w:sz w:val="19"/>
              </w:rPr>
              <w:t>Action</w:t>
            </w:r>
          </w:p>
        </w:tc>
        <w:tc>
          <w:tcPr>
            <w:tcW w:type="dxa" w:w="2592"/>
            <w:shd w:val="clear" w:fill="1F4E78"/>
          </w:tcPr>
          <w:p>
            <w:r>
              <w:rPr>
                <w:b/>
                <w:color w:val="FFFFFF"/>
                <w:sz w:val="19"/>
              </w:rPr>
              <w:t>Owner / status</w:t>
            </w:r>
          </w:p>
        </w:tc>
      </w:tr>
      <w:tr>
        <w:tc>
          <w:tcPr>
            <w:tcW w:type="dxa" w:w="576"/>
          </w:tcPr>
          <w:p>
            <w:r>
              <w:rPr>
                <w:sz w:val="19"/>
              </w:rPr>
              <w:t>1</w:t>
            </w:r>
          </w:p>
        </w:tc>
        <w:tc>
          <w:tcPr>
            <w:tcW w:type="dxa" w:w="6624"/>
          </w:tcPr>
          <w:p>
            <w:r>
              <w:rPr>
                <w:sz w:val="19"/>
              </w:rPr>
              <w:t>Pull SNP CoA history → finalize viscosity &amp; pH targets (gates any firm quote)</w:t>
            </w:r>
          </w:p>
        </w:tc>
        <w:tc>
          <w:tcPr>
            <w:tcW w:type="dxa" w:w="2592"/>
          </w:tcPr>
          <w:p>
            <w:r>
              <w:rPr>
                <w:sz w:val="19"/>
              </w:rPr>
              <w:t>Open — highest leverage</w:t>
            </w:r>
          </w:p>
        </w:tc>
      </w:tr>
      <w:tr>
        <w:tc>
          <w:tcPr>
            <w:tcW w:type="dxa" w:w="576"/>
          </w:tcPr>
          <w:p>
            <w:r>
              <w:rPr>
                <w:sz w:val="19"/>
              </w:rPr>
              <w:t>2</w:t>
            </w:r>
          </w:p>
        </w:tc>
        <w:tc>
          <w:tcPr>
            <w:tcW w:type="dxa" w:w="6624"/>
          </w:tcPr>
          <w:p>
            <w:r>
              <w:rPr>
                <w:sz w:val="19"/>
              </w:rPr>
              <w:t>CJB NDA on process</w:t>
            </w:r>
          </w:p>
        </w:tc>
        <w:tc>
          <w:tcPr>
            <w:tcW w:type="dxa" w:w="2592"/>
          </w:tcPr>
          <w:p>
            <w:r>
              <w:rPr>
                <w:sz w:val="19"/>
              </w:rPr>
              <w:t>In work — McC</w:t>
            </w:r>
          </w:p>
        </w:tc>
      </w:tr>
      <w:tr>
        <w:tc>
          <w:tcPr>
            <w:tcW w:type="dxa" w:w="576"/>
          </w:tcPr>
          <w:p>
            <w:r>
              <w:rPr>
                <w:sz w:val="19"/>
              </w:rPr>
              <w:t>3</w:t>
            </w:r>
          </w:p>
        </w:tc>
        <w:tc>
          <w:tcPr>
            <w:tcW w:type="dxa" w:w="6624"/>
          </w:tcPr>
          <w:p>
            <w:r>
              <w:rPr>
                <w:sz w:val="19"/>
              </w:rPr>
              <w:t>Send CJB full spec + RFQ (Option A &amp; B per-drum)</w:t>
            </w:r>
          </w:p>
        </w:tc>
        <w:tc>
          <w:tcPr>
            <w:tcW w:type="dxa" w:w="2592"/>
          </w:tcPr>
          <w:p>
            <w:r>
              <w:rPr>
                <w:sz w:val="19"/>
              </w:rPr>
              <w:t>After NDA</w:t>
            </w:r>
          </w:p>
        </w:tc>
      </w:tr>
      <w:tr>
        <w:tc>
          <w:tcPr>
            <w:tcW w:type="dxa" w:w="576"/>
          </w:tcPr>
          <w:p>
            <w:r>
              <w:rPr>
                <w:sz w:val="19"/>
              </w:rPr>
              <w:t>4</w:t>
            </w:r>
          </w:p>
        </w:tc>
        <w:tc>
          <w:tcPr>
            <w:tcW w:type="dxa" w:w="6624"/>
          </w:tcPr>
          <w:p>
            <w:r>
              <w:rPr>
                <w:sz w:val="19"/>
              </w:rPr>
              <w:t>Re-confirm APV 90–95 °C hold; send pricing benchmark envelope</w:t>
            </w:r>
          </w:p>
        </w:tc>
        <w:tc>
          <w:tcPr>
            <w:tcW w:type="dxa" w:w="2592"/>
          </w:tcPr>
          <w:p>
            <w:r>
              <w:rPr>
                <w:sz w:val="19"/>
              </w:rPr>
              <w:t>Open</w:t>
            </w:r>
          </w:p>
        </w:tc>
      </w:tr>
      <w:tr>
        <w:tc>
          <w:tcPr>
            <w:tcW w:type="dxa" w:w="576"/>
          </w:tcPr>
          <w:p>
            <w:r>
              <w:rPr>
                <w:sz w:val="19"/>
              </w:rPr>
              <w:t>5</w:t>
            </w:r>
          </w:p>
        </w:tc>
        <w:tc>
          <w:tcPr>
            <w:tcW w:type="dxa" w:w="6624"/>
          </w:tcPr>
          <w:p>
            <w:r>
              <w:rPr>
                <w:sz w:val="19"/>
              </w:rPr>
              <w:t>Execute Supplier Quality Agreement with selected source</w:t>
            </w:r>
          </w:p>
        </w:tc>
        <w:tc>
          <w:tcPr>
            <w:tcW w:type="dxa" w:w="2592"/>
          </w:tcPr>
          <w:p>
            <w:r>
              <w:rPr>
                <w:sz w:val="19"/>
              </w:rPr>
              <w:t>After award</w:t>
            </w:r>
          </w:p>
        </w:tc>
      </w:tr>
      <w:tr>
        <w:tc>
          <w:tcPr>
            <w:tcW w:type="dxa" w:w="576"/>
          </w:tcPr>
          <w:p>
            <w:r>
              <w:rPr>
                <w:sz w:val="19"/>
              </w:rPr>
              <w:t>6</w:t>
            </w:r>
          </w:p>
        </w:tc>
        <w:tc>
          <w:tcPr>
            <w:tcW w:type="dxa" w:w="6624"/>
          </w:tcPr>
          <w:p>
            <w:r>
              <w:rPr>
                <w:sz w:val="19"/>
              </w:rPr>
              <w:t>Keep Piedmont / Columbus in reserve</w:t>
            </w:r>
          </w:p>
        </w:tc>
        <w:tc>
          <w:tcPr>
            <w:tcW w:type="dxa" w:w="2592"/>
          </w:tcPr>
          <w:p>
            <w:r>
              <w:rPr>
                <w:sz w:val="19"/>
              </w:rPr>
              <w:t>Standby</w:t>
            </w:r>
          </w:p>
        </w:tc>
      </w:tr>
    </w:tbl>
    <w:p>
      <w:pPr>
        <w:spacing w:before="240" w:after="80"/>
      </w:pPr>
      <w:r>
        <w:rPr>
          <w:b/>
          <w:color w:val="1F4E78"/>
          <w:sz w:val="30"/>
        </w:rPr>
        <w:t>Appendix: Key References</w:t>
      </w:r>
    </w:p>
    <w:p>
      <w:pPr>
        <w:pStyle w:val="ListBullet"/>
      </w:pPr>
      <w:r>
        <w:rPr>
          <w:b/>
        </w:rPr>
        <w:t xml:space="preserve">PVA technical: </w:t>
      </w:r>
      <w:r>
        <w:t>Sekisui Selvol PVOH Solution Preparation guide/video; obtain S-1551F-D grade TDS + CoA direct from Sekisui.</w:t>
      </w:r>
    </w:p>
    <w:p>
      <w:pPr>
        <w:pStyle w:val="ListBullet"/>
      </w:pPr>
      <w:r>
        <w:rPr>
          <w:b/>
        </w:rPr>
        <w:t xml:space="preserve">PVA technical: </w:t>
      </w:r>
      <w:r>
        <w:t>Kuraray Poval Application Guide (dissolution second opinion).</w:t>
      </w:r>
    </w:p>
    <w:p>
      <w:pPr>
        <w:pStyle w:val="ListBullet"/>
      </w:pPr>
      <w:r>
        <w:rPr>
          <w:b/>
        </w:rPr>
        <w:t xml:space="preserve">Process: </w:t>
      </w:r>
      <w:r>
        <w:t>Handbook of Industrial Mixing (Paul/Atiemo-Obeng/Kresta, 2004) — jacketed-tank scale-up.</w:t>
      </w:r>
    </w:p>
    <w:p>
      <w:pPr>
        <w:pStyle w:val="ListBullet"/>
      </w:pPr>
      <w:r>
        <w:rPr>
          <w:b/>
        </w:rPr>
        <w:t xml:space="preserve">Regulatory: </w:t>
      </w:r>
      <w:r>
        <w:t>ISO 13485:2016 §7.4; FDA QMSR (89 FR 7496, eff. 2026-02-02); GHTF/SG3/N17.</w:t>
      </w:r>
    </w:p>
    <w:p>
      <w:pPr>
        <w:pStyle w:val="ListBullet"/>
      </w:pPr>
      <w:r>
        <w:rPr>
          <w:b/>
        </w:rPr>
        <w:t xml:space="preserve">Sourcing: </w:t>
      </w:r>
      <w:r>
        <w:t>Monczka, Purchasing &amp; SCM 8th (2026); Lysons &amp; Farrington (Kraljic + 10 Cs); McKinsey supply-resilience surveys (dual-sourcing).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