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40"/>
          <w:szCs w:val="40"/>
        </w:rPr>
        <w:t xml:space="preserve">Valeria Criollo</w:t>
      </w:r>
    </w:p>
    <w:p>
      <w:pPr>
        <w:spacing w:after="80"/>
      </w:pPr>
      <w:r>
        <w:t xml:space="preserve">Raleigh, North Carolina · (919) 649-7027 · valeriacriollo171@gmail.com</w:t>
      </w:r>
    </w:p>
    <w:p>
      <w:pPr>
        <w:spacing w:after="80"/>
      </w:pPr>
      <w:r>
        <w:t xml:space="preserve">LinkedIn: linkedin.com/in/valeria-criollo-678517114 · </w:t>
      </w:r>
      <w:r>
        <w:rPr>
          <w:i/>
          <w:iCs/>
        </w:rPr>
        <w:t xml:space="preserve">(publications also appear under Vinueza, V.C.)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80"/>
      </w:pPr>
      <w:r>
        <w:t xml:space="preserve">Immunologist (M.S., Comparative Biomedical Sciences) with 7+ years designing and running preclinical and immunopathology research, from in vivo model development through vaccine efficacy testing and publication. First-author of peer-reviewed studies in </w:t>
      </w:r>
      <w:r>
        <w:rPr>
          <w:i/>
          <w:iCs/>
        </w:rPr>
        <w:t xml:space="preserve">Avian Diseases</w:t>
      </w:r>
      <w:r>
        <w:t xml:space="preserve"> and </w:t>
      </w:r>
      <w:r>
        <w:rPr>
          <w:i/>
          <w:iCs/>
        </w:rPr>
        <w:t xml:space="preserve">Veterinary Immunology and Immunopathology</w:t>
      </w:r>
      <w:r>
        <w:t xml:space="preserve">; skilled in flow cytometry, immune profiling, and advanced biostatistics (Prism, SAS, R). Co-founder of a regenerative-medicine company with an FDA-registered product and a filed patent. Native-bilingual English/Spanish.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Immunology &amp; assays:</w:t>
      </w:r>
      <w:r>
        <w:t xml:space="preserve"> Flow cytometry (multi-color panels) &amp; FlowJo; ELISA; ELISpot; Western blot; qPCR/RT-qPCR; immunohistochemistry (IHC) &amp; histopathology; immunopathology scoring; immune profiling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 vivo &amp; cell biology:</w:t>
      </w:r>
      <w:r>
        <w:t xml:space="preserve"> In vivo model design &amp; dosing; disease-challenge models; primary cell isolation; cell culture; necropsy; aseptic technique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Vaccine R&amp;D:</w:t>
      </w:r>
      <w:r>
        <w:t xml:space="preserve"> Bacterial, viral &amp; parasitic vaccine-candidate development; immunogenicity &amp; protection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Biostatistics &amp; data:</w:t>
      </w:r>
      <w:r>
        <w:t xml:space="preserve"> Experimental design; power/sample-size analysis; ANOVA, regression, survival analysis, mixed models; GraphPad Prism, SAS, R, Python, JMP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Rigor &amp; compliance:</w:t>
      </w:r>
      <w:r>
        <w:t xml:space="preserve"> GLP; IACUC protocol development &amp; compliance; SOP development; assay optimization &amp; validation; scientific writing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English (native/bilingual), Spanish (native/bilingual), Portuguese (conversational)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PROFESSIONAL &amp; RESEARCH EXPERIENCE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North Carolina State University, College of Veterinary Medicine — Laboratory Manager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Raleigh, NC · Jan 2019 – Mar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immunopathology and preclinical research operations, managing and training </w:t>
      </w:r>
      <w:r>
        <w:rPr>
          <w:b/>
          <w:bCs/>
        </w:rPr>
        <w:t xml:space="preserve">3–4 technical staff</w:t>
      </w:r>
      <w:r>
        <w:t xml:space="preserve"> and running </w:t>
      </w:r>
      <w:r>
        <w:rPr>
          <w:b/>
          <w:bCs/>
        </w:rPr>
        <w:t xml:space="preserve">3+ sponsored studies in parallel</w:t>
      </w:r>
      <w:r>
        <w:t xml:space="preserve"> under </w:t>
      </w:r>
      <w:r>
        <w:rPr>
          <w:b/>
          <w:bCs/>
        </w:rPr>
        <w:t xml:space="preserve">~$300K/year</w:t>
      </w:r>
      <w:r>
        <w:t xml:space="preserve"> in industry research funding.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validated </w:t>
      </w:r>
      <w:r>
        <w:rPr>
          <w:b/>
          <w:bCs/>
        </w:rPr>
        <w:t xml:space="preserve">5 in vivo disease-challenge models</w:t>
      </w:r>
      <w:r>
        <w:t xml:space="preserve"> (4 bacterial, 1 coccidial) that supported vaccine development from concept through early-stage efficacy testing.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Directed development of bacterial, viral, and parasitic vaccine candidates; evaluated immunogenicity and protection in challenge studies (</w:t>
      </w:r>
      <w:r>
        <w:rPr>
          <w:b/>
          <w:bCs/>
        </w:rPr>
        <w:t xml:space="preserve">n ≈ 30–100</w:t>
      </w:r>
      <w:r>
        <w:t xml:space="preserve">), yielding </w:t>
      </w:r>
      <w:r>
        <w:rPr>
          <w:b/>
          <w:bCs/>
        </w:rPr>
        <w:t xml:space="preserve">two first-author</w:t>
      </w:r>
      <w:r>
        <w:t xml:space="preserve"> peer-reviewed publications.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flow cytometry, ELISA, IHC/histopathology, and qPCR workflows to characterize host immune responses and immunopathology.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Conducted advanced biostatistical analysis (Prism, SAS, R) — experimental design, power analysis, ANOVA/regression/mixed models — to establish vaccine efficacy and immune correlates.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GliaBeauty — Co-Founder &amp; Chief Executive Officer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Raleigh, NC (laboratories in Mexico) · Sep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Co-founded a regenerative-medicine venture — </w:t>
      </w:r>
      <w:r>
        <w:rPr>
          <w:b/>
          <w:bCs/>
        </w:rPr>
        <w:t xml:space="preserve">GliaBeauty</w:t>
      </w:r>
      <w:r>
        <w:t xml:space="preserve"> (cosmetic) and its affiliated pharmaceutical/clinical entity </w:t>
      </w:r>
      <w:r>
        <w:rPr>
          <w:b/>
          <w:bCs/>
        </w:rPr>
        <w:t xml:space="preserve">CryoGen, LLC</w:t>
      </w:r>
      <w:r>
        <w:t xml:space="preserve"> — developing </w:t>
      </w:r>
      <w:r>
        <w:rPr>
          <w:b/>
          <w:bCs/>
        </w:rPr>
        <w:t xml:space="preserve">stem cell– and exosome-based</w:t>
      </w:r>
      <w:r>
        <w:t xml:space="preserve"> skin and hair therapies; directed R&amp;D from concept to a </w:t>
      </w:r>
      <w:r>
        <w:rPr>
          <w:b/>
          <w:bCs/>
        </w:rPr>
        <w:t xml:space="preserve">FDA-registered product</w:t>
      </w:r>
      <w:r>
        <w:t xml:space="preserve"> with an assigned National Drug Code (NDC).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oversaw </w:t>
      </w:r>
      <w:r>
        <w:rPr>
          <w:b/>
          <w:bCs/>
        </w:rPr>
        <w:t xml:space="preserve">preclinical testing (including in vivo models), clinical-trial design, and data analysis</w:t>
      </w:r>
      <w:r>
        <w:t xml:space="preserve"> through the CryoGen clinical arm.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Co-inventor</w:t>
      </w:r>
      <w:r>
        <w:t xml:space="preserve"> on a filed U.S. patent for skin-treatment compositions and methods (see Patents).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and led a </w:t>
      </w:r>
      <w:r>
        <w:rPr>
          <w:b/>
          <w:bCs/>
        </w:rPr>
        <w:t xml:space="preserve">team of 9</w:t>
      </w:r>
      <w:r>
        <w:t xml:space="preserve"> across US and Mexico-based laboratories and operations.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CEVA Santé Animale — Program Coordinator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Remote / Latin America &amp; Europe · Jan 2019 – Feb 2026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Coordinated an </w:t>
      </w:r>
      <w:r>
        <w:rPr>
          <w:b/>
          <w:bCs/>
        </w:rPr>
        <w:t xml:space="preserve">international veterinary certification program</w:t>
      </w:r>
      <w:r>
        <w:t xml:space="preserve"> delivered in partnership with </w:t>
      </w:r>
      <w:r>
        <w:rPr>
          <w:b/>
          <w:bCs/>
        </w:rPr>
        <w:t xml:space="preserve">NC State College of Veterinary Medicine</w:t>
      </w:r>
      <w:r>
        <w:t xml:space="preserve">, extending professional certification to veterinarians across </w:t>
      </w:r>
      <w:r>
        <w:rPr>
          <w:b/>
          <w:bCs/>
        </w:rPr>
        <w:t xml:space="preserve">Latin America and Europe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as </w:t>
      </w:r>
      <w:r>
        <w:rPr>
          <w:b/>
          <w:bCs/>
        </w:rPr>
        <w:t xml:space="preserve">bilingual liaison</w:t>
      </w:r>
      <w:r>
        <w:t xml:space="preserve"> providing </w:t>
      </w:r>
      <w:r>
        <w:rPr>
          <w:b/>
          <w:bCs/>
        </w:rPr>
        <w:t xml:space="preserve">translation and clinical assistance</w:t>
      </w:r>
      <w:r>
        <w:t xml:space="preserve"> to program participants across multiple countries.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Duke University — Laboratory Technician, Bohórquez Lab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Durham, NC · Apr 2016 – Apr 2017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Conducted neuroscience and biomedical-engineering research on </w:t>
      </w:r>
      <w:r>
        <w:rPr>
          <w:b/>
          <w:bCs/>
        </w:rPr>
        <w:t xml:space="preserve">gut-brain signaling pathways</w:t>
      </w:r>
      <w:r>
        <w:t xml:space="preserve"> (neuropod cells) in the Bohórquez Lab, supporting study execution, sample processing, and data collection.</w:t>
      </w:r>
    </w:p>
    <w:p>
      <w:pPr>
        <w:spacing w:after="10" w:before="140"/>
      </w:pPr>
      <w:r>
        <w:rPr>
          <w:b/>
          <w:bCs/>
          <w:sz w:val="21"/>
          <w:szCs w:val="21"/>
        </w:rPr>
        <w:t xml:space="preserve">Duke University Health System — Animal Care Technician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Durham, NC · 2018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Supported preclinical studies under </w:t>
      </w:r>
      <w:r>
        <w:rPr>
          <w:b/>
          <w:bCs/>
        </w:rPr>
        <w:t xml:space="preserve">IACUC compliance</w:t>
      </w:r>
      <w:r>
        <w:t xml:space="preserve"> — animal husbandry, welfare monitoring, and study/lab support.</w:t>
      </w:r>
    </w:p>
    <w:p>
      <w:pPr>
        <w:spacing w:after="70"/>
      </w:pPr>
      <w:r>
        <w:rPr>
          <w:i/>
          <w:iCs/>
          <w:color w:val="555555"/>
          <w:sz w:val="19"/>
          <w:szCs w:val="19"/>
        </w:rPr>
        <w:t xml:space="preserve">Earlier: Quality Control Assistant, Trofi Tropenfruchtimport GmbH (Hamburg, Germany, 2015) — quality inspection and import/export compliance documentation.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SELECTED PUBLICATIONS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Criollo V</w:t>
      </w:r>
      <w:r>
        <w:t xml:space="preserve">, Gaghan C, John F, Orozco E, Thachil A, Crespo R, Kulkarni RR. Immune Response Evaluation in Commercial Turkeys Affected with Clostridial Dermatitis. </w:t>
      </w:r>
      <w:r>
        <w:rPr>
          <w:i/>
          <w:iCs/>
        </w:rPr>
        <w:t xml:space="preserve">Avian Diseases.</w:t>
      </w:r>
      <w:r>
        <w:t xml:space="preserve"> 2023;67(1):80–88. </w:t>
      </w:r>
      <w:r>
        <w:rPr>
          <w:b/>
          <w:bCs/>
        </w:rPr>
        <w:t xml:space="preserve">(first author)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Criollo V</w:t>
      </w:r>
      <w:r>
        <w:t xml:space="preserve">, John FA, Gaghan C, Fletcher OJ, Thachil A, Crespo R, Kulkarni RR. Characterization of immune responses and immunopathology in turkeys experimentally infected with clostridial dermatitis–producing strains of </w:t>
      </w:r>
      <w:r>
        <w:rPr>
          <w:i/>
          <w:iCs/>
        </w:rPr>
        <w:t xml:space="preserve">Clostridium septicum</w:t>
      </w:r>
      <w:r>
        <w:t xml:space="preserve">. </w:t>
      </w:r>
      <w:r>
        <w:rPr>
          <w:i/>
          <w:iCs/>
        </w:rPr>
        <w:t xml:space="preserve">Veterinary Immunology and Immunopathology.</w:t>
      </w:r>
      <w:r>
        <w:t xml:space="preserve"> 2024;269:110717. </w:t>
      </w:r>
      <w:r>
        <w:rPr>
          <w:b/>
          <w:bCs/>
        </w:rPr>
        <w:t xml:space="preserve">(first author)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John FA, </w:t>
      </w:r>
      <w:r>
        <w:rPr>
          <w:b/>
          <w:bCs/>
        </w:rPr>
        <w:t xml:space="preserve">Criollo V</w:t>
      </w:r>
      <w:r>
        <w:t xml:space="preserve">, Gaghan C, Armwood A, Holmes J, Thachil AJ, Crespo R, Kulkarni RR. Immunization of turkeys with </w:t>
      </w:r>
      <w:r>
        <w:rPr>
          <w:i/>
          <w:iCs/>
        </w:rPr>
        <w:t xml:space="preserve">Clostridium septicum</w:t>
      </w:r>
      <w:r>
        <w:t xml:space="preserve"> alpha toxin–based recombinant subunit proteins can confer protection against experimental clostridial dermatitis. </w:t>
      </w:r>
      <w:r>
        <w:rPr>
          <w:i/>
          <w:iCs/>
        </w:rPr>
        <w:t xml:space="preserve">PLOS ONE.</w:t>
      </w:r>
      <w:r>
        <w:t xml:space="preserve"> 2024;19(4):e0302555.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Boyett T, Crespo R, </w:t>
      </w:r>
      <w:r>
        <w:rPr>
          <w:b/>
          <w:bCs/>
        </w:rPr>
        <w:t xml:space="preserve">Vinueza VC</w:t>
      </w:r>
      <w:r>
        <w:t xml:space="preserve">, Gaghan C, Mohammed JP, Kulkarni RR. Enumeration and speciation of coccidia affecting turkeys using flow cytometry method. </w:t>
      </w:r>
      <w:r>
        <w:rPr>
          <w:i/>
          <w:iCs/>
        </w:rPr>
        <w:t xml:space="preserve">Journal of Applied Poultry Research.</w:t>
      </w:r>
      <w:r>
        <w:t xml:space="preserve"> 2022;31(3):100270.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Pejuán W, </w:t>
      </w:r>
      <w:r>
        <w:rPr>
          <w:b/>
          <w:bCs/>
        </w:rPr>
        <w:t xml:space="preserve">Criollo V</w:t>
      </w:r>
      <w:r>
        <w:t xml:space="preserve">, Paz PE. Optimum Harvest Time of the Nile Tilapia (</w:t>
      </w:r>
      <w:r>
        <w:rPr>
          <w:i/>
          <w:iCs/>
        </w:rPr>
        <w:t xml:space="preserve">Oreochromis niloticus</w:t>
      </w:r>
      <w:r>
        <w:t xml:space="preserve">) in Honduras: A Two-Step OLS Procedure to Obtain the Growth Function. </w:t>
      </w:r>
      <w:r>
        <w:rPr>
          <w:i/>
          <w:iCs/>
        </w:rPr>
        <w:t xml:space="preserve">Fisheries and Aquaculture Journal.</w:t>
      </w:r>
      <w:r>
        <w:t xml:space="preserve"> 2019;10(3):270.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PATENTS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Compositions and Methods of Use for the Treatment of Skin. U.S. Patent Application </w:t>
      </w:r>
      <w:r>
        <w:rPr>
          <w:b/>
          <w:bCs/>
        </w:rPr>
        <w:t xml:space="preserve">US 2023/0277439 A1</w:t>
      </w:r>
      <w:r>
        <w:t xml:space="preserve"> (patent pending) — </w:t>
      </w:r>
      <w:r>
        <w:rPr>
          <w:b/>
          <w:bCs/>
        </w:rPr>
        <w:t xml:space="preserve">co-inventor</w:t>
      </w:r>
      <w:r>
        <w:t xml:space="preserve">.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M.S., Comparative Biomedical Sciences (Immunology concentration)</w:t>
      </w:r>
      <w:r>
        <w:t xml:space="preserve"> — North Carolina State University, College of Veterinary Medicine,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B.S., Business Administration / Agribusiness Management</w:t>
      </w:r>
      <w:r>
        <w:t xml:space="preserve"> — EAP Zamorano (Escuela Agrícola Panamericana), Honduras, 2015 — </w:t>
      </w:r>
      <w:r>
        <w:rPr>
          <w:b/>
          <w:bCs/>
        </w:rPr>
        <w:t xml:space="preserve">Valedictorian</w:t>
      </w:r>
    </w:p>
    <w:p>
      <w:pPr>
        <w:pBdr>
          <w:bottom w:val="single" w:color="8a8a8a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CERTIFICATIONS, HONORS &amp; AFFILIATIONS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CITI Program — Responsible Conduct of Research (RCR)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Duke University — Animal Research Coordinator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Gamma Sigma Delta — The Honor Society of Agriculture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Honors: Agribusiness Management Valedictorian; Meritorious Thesis (Zamorano)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2026-08-05T01:10:28.788Z</dcterms:created>
  <dcterms:modified xsi:type="dcterms:W3CDTF">2026-08-05T01:10:28.788Z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