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20B1" w14:textId="77777777" w:rsidR="009C35F8" w:rsidRDefault="009C35F8" w:rsidP="009C35F8">
      <w:pPr>
        <w:pStyle w:val="p1"/>
      </w:pPr>
      <w:r>
        <w:t>Gentile Direzione,</w:t>
      </w:r>
    </w:p>
    <w:p w14:paraId="7EAF2A9F" w14:textId="77777777" w:rsidR="009C35F8" w:rsidRDefault="009C35F8" w:rsidP="009C35F8">
      <w:pPr>
        <w:pStyle w:val="p2"/>
      </w:pPr>
    </w:p>
    <w:p w14:paraId="21030D6D" w14:textId="77777777" w:rsidR="009C35F8" w:rsidRDefault="009C35F8" w:rsidP="009C35F8">
      <w:pPr>
        <w:pStyle w:val="p3"/>
      </w:pPr>
      <w:r>
        <w:rPr>
          <w:rStyle w:val="s1"/>
          <w:rFonts w:eastAsiaTheme="majorEastAsia"/>
        </w:rPr>
        <w:t xml:space="preserve">vi scriviamo per segnalarvi un’importante </w:t>
      </w:r>
      <w:r>
        <w:rPr>
          <w:b/>
          <w:bCs/>
        </w:rPr>
        <w:t>opportunità di finanziamento a fondo perduto</w:t>
      </w:r>
      <w:r>
        <w:rPr>
          <w:rStyle w:val="s1"/>
          <w:rFonts w:eastAsiaTheme="majorEastAsia"/>
        </w:rPr>
        <w:t xml:space="preserve"> dedicata ai musei e agli enti culturali del territorio trentino e, contestualmente, per proporvi il </w:t>
      </w:r>
      <w:r>
        <w:rPr>
          <w:b/>
          <w:bCs/>
        </w:rPr>
        <w:t xml:space="preserve">supporto di </w:t>
      </w:r>
      <w:proofErr w:type="spellStart"/>
      <w:r>
        <w:rPr>
          <w:b/>
          <w:bCs/>
        </w:rPr>
        <w:t>Fairsgate</w:t>
      </w:r>
      <w:proofErr w:type="spellEnd"/>
      <w:r>
        <w:rPr>
          <w:b/>
          <w:bCs/>
        </w:rPr>
        <w:t xml:space="preserve"> sia nella stesura del progetto sia nella realizzazione delle soluzioni digitali previste dal bando</w:t>
      </w:r>
      <w:r>
        <w:rPr>
          <w:rStyle w:val="s1"/>
          <w:rFonts w:eastAsiaTheme="majorEastAsia"/>
        </w:rPr>
        <w:t>.</w:t>
      </w:r>
    </w:p>
    <w:p w14:paraId="0D26C539" w14:textId="77777777" w:rsidR="009C35F8" w:rsidRDefault="009C35F8" w:rsidP="009C35F8">
      <w:pPr>
        <w:pStyle w:val="p2"/>
      </w:pPr>
    </w:p>
    <w:p w14:paraId="2368DF25" w14:textId="77777777" w:rsidR="009C35F8" w:rsidRDefault="009C35F8" w:rsidP="009C35F8">
      <w:pPr>
        <w:pStyle w:val="p1"/>
      </w:pPr>
      <w:r>
        <w:t xml:space="preserve">La </w:t>
      </w:r>
      <w:r>
        <w:rPr>
          <w:rStyle w:val="s2"/>
          <w:rFonts w:eastAsiaTheme="majorEastAsia"/>
          <w:b/>
          <w:bCs/>
        </w:rPr>
        <w:t xml:space="preserve">Fondazione </w:t>
      </w:r>
      <w:proofErr w:type="spellStart"/>
      <w:r>
        <w:rPr>
          <w:rStyle w:val="s2"/>
          <w:rFonts w:eastAsiaTheme="majorEastAsia"/>
          <w:b/>
          <w:bCs/>
        </w:rPr>
        <w:t>Caritro</w:t>
      </w:r>
      <w:proofErr w:type="spellEnd"/>
      <w:r>
        <w:t xml:space="preserve"> ha pubblicato il bando </w:t>
      </w:r>
      <w:r>
        <w:rPr>
          <w:rStyle w:val="s2"/>
          <w:rFonts w:eastAsiaTheme="majorEastAsia"/>
          <w:b/>
          <w:bCs/>
        </w:rPr>
        <w:t>“Digitale per la Cultura 2026”</w:t>
      </w:r>
      <w:r>
        <w:t xml:space="preserve">, che consente agli enti culturali senza scopo di lucro di accedere a un </w:t>
      </w:r>
      <w:r>
        <w:rPr>
          <w:rStyle w:val="s2"/>
          <w:rFonts w:eastAsiaTheme="majorEastAsia"/>
          <w:b/>
          <w:bCs/>
        </w:rPr>
        <w:t>contributo fino al 70% a fondo perduto</w:t>
      </w:r>
      <w:r>
        <w:t xml:space="preserve">, per un massimo di </w:t>
      </w:r>
      <w:r>
        <w:rPr>
          <w:rStyle w:val="s2"/>
          <w:rFonts w:eastAsiaTheme="majorEastAsia"/>
          <w:b/>
          <w:bCs/>
        </w:rPr>
        <w:t>70.000 euro per progetto</w:t>
      </w:r>
      <w:r>
        <w:t xml:space="preserve">, a sostegno di interventi di innovazione digitale in ambito museale e culturale (scadenza: </w:t>
      </w:r>
      <w:r>
        <w:rPr>
          <w:rStyle w:val="s2"/>
          <w:rFonts w:eastAsiaTheme="majorEastAsia"/>
          <w:b/>
          <w:bCs/>
        </w:rPr>
        <w:t>15 ottobre 2026</w:t>
      </w:r>
      <w:r>
        <w:t>).</w:t>
      </w:r>
    </w:p>
    <w:p w14:paraId="09455434" w14:textId="77777777" w:rsidR="009C35F8" w:rsidRDefault="009C35F8" w:rsidP="009C35F8">
      <w:pPr>
        <w:pStyle w:val="p2"/>
      </w:pPr>
    </w:p>
    <w:p w14:paraId="43BC067D" w14:textId="77777777" w:rsidR="009C35F8" w:rsidRDefault="009C35F8" w:rsidP="009C35F8">
      <w:pPr>
        <w:pStyle w:val="p1"/>
      </w:pPr>
      <w:proofErr w:type="spellStart"/>
      <w:r>
        <w:rPr>
          <w:rStyle w:val="s2"/>
          <w:rFonts w:eastAsiaTheme="majorEastAsia"/>
          <w:b/>
          <w:bCs/>
        </w:rPr>
        <w:t>Fairsgate</w:t>
      </w:r>
      <w:proofErr w:type="spellEnd"/>
      <w:r>
        <w:t xml:space="preserve"> è una realtà specializzata nello sviluppo di </w:t>
      </w:r>
      <w:r>
        <w:rPr>
          <w:rStyle w:val="s2"/>
          <w:rFonts w:eastAsiaTheme="majorEastAsia"/>
          <w:b/>
          <w:bCs/>
        </w:rPr>
        <w:t>gemelli digitali e soluzioni digitali avanzate per musei</w:t>
      </w:r>
      <w:r>
        <w:t xml:space="preserve">, e può affiancare il museo come </w:t>
      </w:r>
      <w:r>
        <w:rPr>
          <w:rStyle w:val="s2"/>
          <w:rFonts w:eastAsiaTheme="majorEastAsia"/>
          <w:b/>
          <w:bCs/>
        </w:rPr>
        <w:t>partner tecnico di progetto (fornitore chiave)</w:t>
      </w:r>
      <w:r>
        <w:t xml:space="preserve"> – ruolo espressamente previsto dal bando – offrendo un supporto completo che comprende sia la </w:t>
      </w:r>
      <w:r>
        <w:rPr>
          <w:rStyle w:val="s2"/>
          <w:rFonts w:eastAsiaTheme="majorEastAsia"/>
          <w:b/>
          <w:bCs/>
        </w:rPr>
        <w:t>fase progettuale</w:t>
      </w:r>
      <w:r>
        <w:t xml:space="preserve"> sia la </w:t>
      </w:r>
      <w:r>
        <w:rPr>
          <w:rStyle w:val="s2"/>
          <w:rFonts w:eastAsiaTheme="majorEastAsia"/>
          <w:b/>
          <w:bCs/>
        </w:rPr>
        <w:t>fase di realizzazione</w:t>
      </w:r>
      <w:r>
        <w:t>.</w:t>
      </w:r>
    </w:p>
    <w:p w14:paraId="1F51BAB6" w14:textId="77777777" w:rsidR="009C35F8" w:rsidRDefault="009C35F8" w:rsidP="009C35F8">
      <w:pPr>
        <w:pStyle w:val="p2"/>
      </w:pPr>
    </w:p>
    <w:p w14:paraId="1D748EAB" w14:textId="77777777" w:rsidR="009C35F8" w:rsidRDefault="009C35F8" w:rsidP="009C35F8">
      <w:pPr>
        <w:pStyle w:val="p1"/>
      </w:pPr>
      <w:r>
        <w:t xml:space="preserve">Per dare un’idea concreta delle soluzioni proposte, è possibile visionare un </w:t>
      </w:r>
      <w:r>
        <w:rPr>
          <w:rStyle w:val="s2"/>
          <w:rFonts w:eastAsiaTheme="majorEastAsia"/>
          <w:b/>
          <w:bCs/>
        </w:rPr>
        <w:t>esempio di gemello digitale museale</w:t>
      </w:r>
      <w:r>
        <w:t xml:space="preserve"> al seguente link:</w:t>
      </w:r>
    </w:p>
    <w:p w14:paraId="1B91F297" w14:textId="7D8E4157" w:rsidR="009C35F8" w:rsidRDefault="009C35F8" w:rsidP="009C35F8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hyperlink r:id="rId5" w:history="1">
        <w:r w:rsidRPr="00F102FB">
          <w:rPr>
            <w:rStyle w:val="Collegamentoipertestuale"/>
          </w:rPr>
          <w:t>https://tour.fairsgate.com/tour/museo-demo</w:t>
        </w:r>
      </w:hyperlink>
    </w:p>
    <w:p w14:paraId="491454BC" w14:textId="77777777" w:rsidR="009C35F8" w:rsidRDefault="009C35F8" w:rsidP="009C35F8">
      <w:pPr>
        <w:pStyle w:val="p3"/>
      </w:pPr>
      <w:r>
        <w:rPr>
          <w:rStyle w:val="s1"/>
          <w:rFonts w:ascii="Apple Color Emoji" w:eastAsiaTheme="majorEastAsia" w:hAnsi="Apple Color Emoji" w:cs="Apple Color Emoji"/>
        </w:rPr>
        <w:t>🔐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 xml:space="preserve">Password di accesso: </w:t>
      </w:r>
      <w:proofErr w:type="spellStart"/>
      <w:r>
        <w:rPr>
          <w:b/>
          <w:bCs/>
        </w:rPr>
        <w:t>Fairsgate</w:t>
      </w:r>
      <w:proofErr w:type="spellEnd"/>
    </w:p>
    <w:p w14:paraId="2C038DE2" w14:textId="77777777" w:rsidR="009C35F8" w:rsidRDefault="009C35F8" w:rsidP="009C35F8">
      <w:pPr>
        <w:pStyle w:val="p2"/>
      </w:pPr>
    </w:p>
    <w:p w14:paraId="1F66EBEC" w14:textId="77777777" w:rsidR="009C35F8" w:rsidRDefault="009C35F8" w:rsidP="009C35F8">
      <w:pPr>
        <w:pStyle w:val="p1"/>
      </w:pPr>
      <w:r>
        <w:t xml:space="preserve">Nell’ambito del bando, </w:t>
      </w:r>
      <w:proofErr w:type="spellStart"/>
      <w:r>
        <w:t>Fairsgate</w:t>
      </w:r>
      <w:proofErr w:type="spellEnd"/>
      <w:r>
        <w:t xml:space="preserve"> può supportare il museo in particolare su:</w:t>
      </w:r>
    </w:p>
    <w:p w14:paraId="4A7587E3" w14:textId="77777777" w:rsidR="009C35F8" w:rsidRDefault="009C35F8" w:rsidP="009C35F8">
      <w:pPr>
        <w:pStyle w:val="p1"/>
        <w:numPr>
          <w:ilvl w:val="0"/>
          <w:numId w:val="3"/>
        </w:numPr>
      </w:pPr>
      <w:r>
        <w:rPr>
          <w:b/>
          <w:bCs/>
        </w:rPr>
        <w:t>affiancamento nella costruzione e stesura della candidatura</w:t>
      </w:r>
      <w:r>
        <w:rPr>
          <w:rStyle w:val="s1"/>
          <w:rFonts w:eastAsiaTheme="majorEastAsia"/>
        </w:rPr>
        <w:t>, inclusa:</w:t>
      </w:r>
    </w:p>
    <w:p w14:paraId="19EAF06D" w14:textId="77777777" w:rsidR="009C35F8" w:rsidRDefault="009C35F8" w:rsidP="009C35F8">
      <w:pPr>
        <w:pStyle w:val="p1"/>
        <w:numPr>
          <w:ilvl w:val="1"/>
          <w:numId w:val="3"/>
        </w:numPr>
      </w:pPr>
      <w:r>
        <w:t>definizione dell’idea progettuale</w:t>
      </w:r>
    </w:p>
    <w:p w14:paraId="65163AB8" w14:textId="77777777" w:rsidR="009C35F8" w:rsidRDefault="009C35F8" w:rsidP="009C35F8">
      <w:pPr>
        <w:pStyle w:val="p1"/>
        <w:numPr>
          <w:ilvl w:val="1"/>
          <w:numId w:val="3"/>
        </w:numPr>
      </w:pPr>
      <w:r>
        <w:t>impostazione dell’impianto strategico</w:t>
      </w:r>
    </w:p>
    <w:p w14:paraId="20D79CBB" w14:textId="77777777" w:rsidR="009C35F8" w:rsidRDefault="009C35F8" w:rsidP="009C35F8">
      <w:pPr>
        <w:pStyle w:val="p1"/>
        <w:numPr>
          <w:ilvl w:val="1"/>
          <w:numId w:val="3"/>
        </w:numPr>
      </w:pPr>
      <w:r>
        <w:t>coerenza tra obiettivi, attività, soluzioni digitali e budget</w:t>
      </w:r>
    </w:p>
    <w:p w14:paraId="0AA47D64" w14:textId="77777777" w:rsidR="009C35F8" w:rsidRDefault="009C35F8" w:rsidP="009C35F8">
      <w:pPr>
        <w:pStyle w:val="p1"/>
        <w:numPr>
          <w:ilvl w:val="0"/>
          <w:numId w:val="3"/>
        </w:numPr>
      </w:pPr>
      <w:r>
        <w:rPr>
          <w:b/>
          <w:bCs/>
        </w:rPr>
        <w:t>realizzazione delle soluzioni digitali previste dal progetto</w:t>
      </w:r>
      <w:r>
        <w:rPr>
          <w:rStyle w:val="s1"/>
          <w:rFonts w:eastAsiaTheme="majorEastAsia"/>
        </w:rPr>
        <w:t>, tra cui:</w:t>
      </w:r>
    </w:p>
    <w:p w14:paraId="636B156E" w14:textId="77777777" w:rsidR="009C35F8" w:rsidRDefault="009C35F8" w:rsidP="009C35F8">
      <w:pPr>
        <w:pStyle w:val="p1"/>
        <w:numPr>
          <w:ilvl w:val="1"/>
          <w:numId w:val="3"/>
        </w:numPr>
      </w:pPr>
      <w:r>
        <w:t xml:space="preserve">creazione del </w:t>
      </w:r>
      <w:r>
        <w:rPr>
          <w:rStyle w:val="s1"/>
          <w:rFonts w:eastAsiaTheme="majorEastAsia"/>
          <w:b/>
          <w:bCs/>
        </w:rPr>
        <w:t>gemello digitale del museo</w:t>
      </w:r>
      <w:r>
        <w:t>, con accesso libero oppure regolato / a pagamento</w:t>
      </w:r>
    </w:p>
    <w:p w14:paraId="1E220E54" w14:textId="77777777" w:rsidR="009C35F8" w:rsidRDefault="009C35F8" w:rsidP="009C35F8">
      <w:pPr>
        <w:pStyle w:val="p1"/>
        <w:numPr>
          <w:ilvl w:val="1"/>
          <w:numId w:val="3"/>
        </w:numPr>
      </w:pPr>
      <w:r>
        <w:t>sviluppo del progetto su due livelli:</w:t>
      </w:r>
    </w:p>
    <w:p w14:paraId="1B8C7F8A" w14:textId="77777777" w:rsidR="009C35F8" w:rsidRDefault="009C35F8" w:rsidP="009C35F8">
      <w:pPr>
        <w:pStyle w:val="p1"/>
        <w:numPr>
          <w:ilvl w:val="2"/>
          <w:numId w:val="3"/>
        </w:numPr>
      </w:pPr>
      <w:r>
        <w:t xml:space="preserve">valorizzazione delle </w:t>
      </w:r>
      <w:r>
        <w:rPr>
          <w:rStyle w:val="s1"/>
          <w:rFonts w:eastAsiaTheme="majorEastAsia"/>
          <w:b/>
          <w:bCs/>
        </w:rPr>
        <w:t>mostre permanenti</w:t>
      </w:r>
    </w:p>
    <w:p w14:paraId="78058E7F" w14:textId="77777777" w:rsidR="009C35F8" w:rsidRDefault="009C35F8" w:rsidP="009C35F8">
      <w:pPr>
        <w:pStyle w:val="p1"/>
        <w:numPr>
          <w:ilvl w:val="2"/>
          <w:numId w:val="3"/>
        </w:numPr>
      </w:pPr>
      <w:r>
        <w:t xml:space="preserve">format digitali dedicati alle </w:t>
      </w:r>
      <w:r>
        <w:rPr>
          <w:rStyle w:val="s1"/>
          <w:rFonts w:eastAsiaTheme="majorEastAsia"/>
          <w:b/>
          <w:bCs/>
        </w:rPr>
        <w:t>mostre temporanee</w:t>
      </w:r>
    </w:p>
    <w:p w14:paraId="08389547" w14:textId="77777777" w:rsidR="009C35F8" w:rsidRDefault="009C35F8" w:rsidP="009C35F8">
      <w:pPr>
        <w:pStyle w:val="p1"/>
        <w:numPr>
          <w:ilvl w:val="1"/>
          <w:numId w:val="3"/>
        </w:numPr>
      </w:pPr>
      <w:r>
        <w:t xml:space="preserve">progettazione di </w:t>
      </w:r>
      <w:r>
        <w:rPr>
          <w:rStyle w:val="s1"/>
          <w:rFonts w:eastAsiaTheme="majorEastAsia"/>
          <w:b/>
          <w:bCs/>
        </w:rPr>
        <w:t>sistemi di gamification</w:t>
      </w:r>
      <w:r>
        <w:t>, pensati per il coinvolgimento delle scuole e per il supporto alle attività educative e didattiche</w:t>
      </w:r>
    </w:p>
    <w:p w14:paraId="7DC370EC" w14:textId="77777777" w:rsidR="009C35F8" w:rsidRDefault="009C35F8" w:rsidP="009C35F8">
      <w:pPr>
        <w:pStyle w:val="p2"/>
      </w:pPr>
    </w:p>
    <w:p w14:paraId="4DD00D69" w14:textId="77777777" w:rsidR="009C35F8" w:rsidRDefault="009C35F8" w:rsidP="009C35F8">
      <w:pPr>
        <w:pStyle w:val="p1"/>
      </w:pPr>
      <w:r>
        <w:lastRenderedPageBreak/>
        <w:t>Il principale vantaggio per il museo è quello di:</w:t>
      </w:r>
    </w:p>
    <w:p w14:paraId="419F62C4" w14:textId="77777777" w:rsidR="009C35F8" w:rsidRDefault="009C35F8" w:rsidP="009C35F8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accedere a risorse economiche a fondo perduto</w:t>
      </w:r>
      <w:r>
        <w:t>, riducendo significativamente l’investimento diretto</w:t>
      </w:r>
    </w:p>
    <w:p w14:paraId="1A9CC914" w14:textId="77777777" w:rsidR="009C35F8" w:rsidRDefault="009C35F8" w:rsidP="009C35F8">
      <w:pPr>
        <w:pStyle w:val="p1"/>
        <w:numPr>
          <w:ilvl w:val="0"/>
          <w:numId w:val="4"/>
        </w:numPr>
      </w:pPr>
      <w:r>
        <w:rPr>
          <w:b/>
          <w:bCs/>
        </w:rPr>
        <w:t>ampliare il bacino di utenza e di potenziali visitatori</w:t>
      </w:r>
      <w:r>
        <w:rPr>
          <w:rStyle w:val="s1"/>
          <w:rFonts w:eastAsiaTheme="majorEastAsia"/>
        </w:rPr>
        <w:t>, anche da remoto</w:t>
      </w:r>
    </w:p>
    <w:p w14:paraId="0BDACFDF" w14:textId="77777777" w:rsidR="009C35F8" w:rsidRDefault="009C35F8" w:rsidP="009C35F8">
      <w:pPr>
        <w:pStyle w:val="p1"/>
        <w:numPr>
          <w:ilvl w:val="0"/>
          <w:numId w:val="4"/>
        </w:numPr>
      </w:pPr>
      <w:r>
        <w:t>rafforzare la diffusione della cultura e il coinvolgimento del mondo scolastico attraverso strumenti digitali innovativi</w:t>
      </w:r>
    </w:p>
    <w:p w14:paraId="64655C0D" w14:textId="77777777" w:rsidR="009C35F8" w:rsidRDefault="009C35F8" w:rsidP="009C35F8">
      <w:pPr>
        <w:pStyle w:val="p2"/>
      </w:pPr>
    </w:p>
    <w:p w14:paraId="1F8947D9" w14:textId="77777777" w:rsidR="009C35F8" w:rsidRDefault="009C35F8" w:rsidP="009C35F8">
      <w:pPr>
        <w:pStyle w:val="p1"/>
      </w:pPr>
      <w:r>
        <w:t xml:space="preserve">Saremmo lieti di organizzare un </w:t>
      </w:r>
      <w:r>
        <w:rPr>
          <w:rStyle w:val="s2"/>
          <w:rFonts w:eastAsiaTheme="majorEastAsia"/>
          <w:b/>
          <w:bCs/>
        </w:rPr>
        <w:t>breve incontro conoscitivo</w:t>
      </w:r>
      <w:r>
        <w:t xml:space="preserve"> per verificare insieme l’ammissibilità e valutare una possibile candidatura, senza alcun impegno iniziale.</w:t>
      </w:r>
    </w:p>
    <w:p w14:paraId="70962399" w14:textId="77777777" w:rsidR="009C35F8" w:rsidRDefault="009C35F8" w:rsidP="009C35F8">
      <w:pPr>
        <w:pStyle w:val="p2"/>
      </w:pPr>
    </w:p>
    <w:p w14:paraId="4AE0A7A2" w14:textId="77777777" w:rsidR="009C35F8" w:rsidRDefault="009C35F8" w:rsidP="009C35F8">
      <w:pPr>
        <w:pStyle w:val="p1"/>
      </w:pPr>
      <w:r>
        <w:t>Restiamo a disposizione e vi ringraziamo per l’attenzione.</w:t>
      </w:r>
    </w:p>
    <w:p w14:paraId="278BBFDB" w14:textId="77777777" w:rsidR="009C35F8" w:rsidRDefault="009C35F8" w:rsidP="009C35F8">
      <w:pPr>
        <w:pStyle w:val="p2"/>
      </w:pPr>
    </w:p>
    <w:p w14:paraId="374BEB68" w14:textId="77777777" w:rsidR="009C35F8" w:rsidRDefault="009C35F8" w:rsidP="009C35F8">
      <w:pPr>
        <w:pStyle w:val="p1"/>
      </w:pPr>
      <w:r>
        <w:t>Un cordiale saluto</w:t>
      </w:r>
    </w:p>
    <w:p w14:paraId="1F53A74B" w14:textId="77777777" w:rsidR="00761722" w:rsidRPr="009C35F8" w:rsidRDefault="00761722" w:rsidP="009C35F8"/>
    <w:sectPr w:rsidR="00761722" w:rsidRPr="009C35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7F8"/>
    <w:multiLevelType w:val="multilevel"/>
    <w:tmpl w:val="BB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12017"/>
    <w:multiLevelType w:val="multilevel"/>
    <w:tmpl w:val="6F9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C76A6"/>
    <w:multiLevelType w:val="multilevel"/>
    <w:tmpl w:val="FBF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A2655"/>
    <w:multiLevelType w:val="multilevel"/>
    <w:tmpl w:val="958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48801">
    <w:abstractNumId w:val="3"/>
  </w:num>
  <w:num w:numId="2" w16cid:durableId="667755542">
    <w:abstractNumId w:val="2"/>
  </w:num>
  <w:num w:numId="3" w16cid:durableId="84618225">
    <w:abstractNumId w:val="1"/>
  </w:num>
  <w:num w:numId="4" w16cid:durableId="54606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22"/>
    <w:rsid w:val="00761722"/>
    <w:rsid w:val="009C35F8"/>
    <w:rsid w:val="00D5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A3A76E"/>
  <w15:chartTrackingRefBased/>
  <w15:docId w15:val="{9A5DA0CF-C047-6D41-B670-90EEE1B2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1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1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1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1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1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17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17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17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17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17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17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17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17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17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1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17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17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761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2">
    <w:name w:val="p2"/>
    <w:basedOn w:val="Normale"/>
    <w:rsid w:val="00761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3">
    <w:name w:val="p3"/>
    <w:basedOn w:val="Normale"/>
    <w:rsid w:val="00761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761722"/>
  </w:style>
  <w:style w:type="character" w:customStyle="1" w:styleId="s2">
    <w:name w:val="s2"/>
    <w:basedOn w:val="Carpredefinitoparagrafo"/>
    <w:rsid w:val="00761722"/>
  </w:style>
  <w:style w:type="character" w:styleId="Collegamentoipertestuale">
    <w:name w:val="Hyperlink"/>
    <w:basedOn w:val="Carpredefinitoparagrafo"/>
    <w:uiPriority w:val="99"/>
    <w:unhideWhenUsed/>
    <w:rsid w:val="009C35F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C3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ur.fairsgate.com/tour/museo-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Castelli</dc:creator>
  <cp:keywords/>
  <dc:description/>
  <cp:lastModifiedBy>Simone Castelli</cp:lastModifiedBy>
  <cp:revision>2</cp:revision>
  <dcterms:created xsi:type="dcterms:W3CDTF">2025-12-29T09:02:00Z</dcterms:created>
  <dcterms:modified xsi:type="dcterms:W3CDTF">2025-12-29T09:12:00Z</dcterms:modified>
</cp:coreProperties>
</file>