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6"/>
          <w:szCs w:val="36"/>
        </w:rPr>
        <w:t xml:space="preserve">MERIDIAN ATLAS</w:t>
      </w:r>
    </w:p>
    <w:p>
      <w:pPr>
        <w:spacing w:after="120"/>
      </w:pPr>
      <w:r>
        <w:rPr>
          <w:sz w:val="26"/>
          <w:szCs w:val="26"/>
        </w:rPr>
        <w:t xml:space="preserve">Current State Document</w:t>
      </w:r>
    </w:p>
    <w:p>
      <w:pPr>
        <w:spacing w:after="200"/>
      </w:pPr>
      <w:r>
        <w:rPr>
          <w:b/>
          <w:bCs/>
          <w:sz w:val="24"/>
          <w:szCs w:val="24"/>
        </w:rPr>
        <w:t xml:space="preserve">Current State Updated v11 — July 26, 2026</w:t>
      </w:r>
    </w:p>
    <w:p>
      <w:pPr>
        <w:spacing w:after="320"/>
      </w:pPr>
      <w:r>
        <w:rPr>
          <w:i/>
          <w:iCs/>
          <w:sz w:val="21"/>
          <w:szCs w:val="21"/>
        </w:rPr>
        <w:t xml:space="preserve">NOTE: This document merges the June 21 2026 current-state baseline (v9) with the July Sprint 2 and Sprint 3 additions (v10) and the July Sprint 4 additions (v11) into a single current-state record. It reflects the state as of July 26, 2026 — Corporate Atlas v4, the ETF pipeline as hardened in June, the 13F and Filings/Issuer intelligence modules built in July Sprint 2/3, and the verification, data-integrity, and operational-safety work completed in July Sprint 4. Sprint 2/3 work is now live on GitHub Pages as of July 26, 2026. This version supersedes v10 entirely.</w:t>
      </w:r>
    </w:p>
    <w:p>
      <w:pPr>
        <w:pStyle w:val="Heading1"/>
        <w:spacing w:after="180" w:before="360"/>
      </w:pPr>
      <w:r>
        <w:rPr>
          <w:b/>
          <w:bCs/>
          <w:sz w:val="28"/>
          <w:szCs w:val="28"/>
        </w:rPr>
        <w:t xml:space="preserve">1. Deployment &amp;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10"/>
        <w:gridCol w:w="6770"/>
      </w:tblGrid>
      <w:tr>
        <w:trPr>
          <w:tblHeader/>
        </w:trPr>
        <w:tc>
          <w:tcPr>
            <w:tcW w:type="dxa" w:w="3310"/>
            <w:shd w:fill="D9E2F3" w:val="clear"/>
            <w:tcMar>
              <w:top w:type="dxa" w:w="80"/>
              <w:left w:type="dxa" w:w="100"/>
              <w:bottom w:type="dxa" w:w="80"/>
              <w:right w:type="dxa" w:w="100"/>
            </w:tcMar>
          </w:tcPr>
          <w:p>
            <w:r>
              <w:rPr>
                <w:b/>
                <w:bCs/>
                <w:sz w:val="20"/>
                <w:szCs w:val="20"/>
              </w:rPr>
              <w:t xml:space="preserve">Layer</w:t>
            </w:r>
          </w:p>
        </w:tc>
        <w:tc>
          <w:tcPr>
            <w:tcW w:type="dxa" w:w="6770"/>
            <w:shd w:fill="D9E2F3" w:val="clear"/>
            <w:tcMar>
              <w:top w:type="dxa" w:w="80"/>
              <w:left w:type="dxa" w:w="100"/>
              <w:bottom w:type="dxa" w:w="80"/>
              <w:right w:type="dxa" w:w="100"/>
            </w:tcMar>
          </w:tcPr>
          <w:p>
            <w:r>
              <w:rPr>
                <w:b/>
                <w:bCs/>
                <w:sz w:val="20"/>
                <w:szCs w:val="20"/>
              </w:rPr>
              <w:t xml:space="preserve">Detail</w:t>
            </w:r>
          </w:p>
        </w:tc>
      </w:tr>
      <w:tr>
        <w:tc>
          <w:tcPr>
            <w:tcW w:type="dxa" w:w="3310"/>
            <w:tcMar>
              <w:top w:type="dxa" w:w="80"/>
              <w:left w:type="dxa" w:w="100"/>
              <w:bottom w:type="dxa" w:w="80"/>
              <w:right w:type="dxa" w:w="100"/>
            </w:tcMar>
          </w:tcPr>
          <w:p>
            <w:r>
              <w:rPr>
                <w:sz w:val="20"/>
                <w:szCs w:val="20"/>
              </w:rPr>
              <w:t xml:space="preserve">Frontend hosting</w:t>
            </w:r>
          </w:p>
        </w:tc>
        <w:tc>
          <w:tcPr>
            <w:tcW w:type="dxa" w:w="6770"/>
            <w:tcMar>
              <w:top w:type="dxa" w:w="80"/>
              <w:left w:type="dxa" w:w="100"/>
              <w:bottom w:type="dxa" w:w="80"/>
              <w:right w:type="dxa" w:w="100"/>
            </w:tcMar>
          </w:tcPr>
          <w:p>
            <w:r>
              <w:rPr>
                <w:sz w:val="20"/>
                <w:szCs w:val="20"/>
              </w:rPr>
              <w:t xml:space="preserve">GitHub Pages — https://navinmv81.github.io/meridian-atlas/, deploying from branch corporate-atlas-v4-deploy-clean, folder / (root). NOT YET redeployed with the July Sprint 2/3 work as of July 23, 2026 — the local branch is 5 commits ahead of origin (see Section 15.5).</w:t>
            </w:r>
          </w:p>
        </w:tc>
      </w:tr>
      <w:tr>
        <w:tc>
          <w:tcPr>
            <w:tcW w:type="dxa" w:w="3310"/>
            <w:tcMar>
              <w:top w:type="dxa" w:w="80"/>
              <w:left w:type="dxa" w:w="100"/>
              <w:bottom w:type="dxa" w:w="80"/>
              <w:right w:type="dxa" w:w="100"/>
            </w:tcMar>
          </w:tcPr>
          <w:p>
            <w:r>
              <w:rPr>
                <w:sz w:val="20"/>
                <w:szCs w:val="20"/>
              </w:rPr>
              <w:t xml:space="preserve">Backend hosting</w:t>
            </w:r>
          </w:p>
        </w:tc>
        <w:tc>
          <w:tcPr>
            <w:tcW w:type="dxa" w:w="6770"/>
            <w:tcMar>
              <w:top w:type="dxa" w:w="80"/>
              <w:left w:type="dxa" w:w="100"/>
              <w:bottom w:type="dxa" w:w="80"/>
              <w:right w:type="dxa" w:w="100"/>
            </w:tcMar>
          </w:tcPr>
          <w:p>
            <w:r>
              <w:rPr>
                <w:sz w:val="20"/>
                <w:szCs w:val="20"/>
              </w:rPr>
              <w:t xml:space="preserve">Cloudflare Workers</w:t>
            </w:r>
          </w:p>
        </w:tc>
      </w:tr>
      <w:tr>
        <w:tc>
          <w:tcPr>
            <w:tcW w:type="dxa" w:w="3310"/>
            <w:tcMar>
              <w:top w:type="dxa" w:w="80"/>
              <w:left w:type="dxa" w:w="100"/>
              <w:bottom w:type="dxa" w:w="80"/>
              <w:right w:type="dxa" w:w="100"/>
            </w:tcMar>
          </w:tcPr>
          <w:p>
            <w:r>
              <w:rPr>
                <w:sz w:val="20"/>
                <w:szCs w:val="20"/>
              </w:rPr>
              <w:t xml:space="preserve">Frontend</w:t>
            </w:r>
          </w:p>
        </w:tc>
        <w:tc>
          <w:tcPr>
            <w:tcW w:type="dxa" w:w="6770"/>
            <w:tcMar>
              <w:top w:type="dxa" w:w="80"/>
              <w:left w:type="dxa" w:w="100"/>
              <w:bottom w:type="dxa" w:w="80"/>
              <w:right w:type="dxa" w:w="100"/>
            </w:tcMar>
          </w:tcPr>
          <w:p>
            <w:r>
              <w:rPr>
                <w:sz w:val="20"/>
                <w:szCs w:val="20"/>
              </w:rPr>
              <w:t xml:space="preserve">Vanilla JavaScript — no frameworks, no bundler</w:t>
            </w:r>
          </w:p>
        </w:tc>
      </w:tr>
      <w:tr>
        <w:tc>
          <w:tcPr>
            <w:tcW w:type="dxa" w:w="3310"/>
            <w:tcMar>
              <w:top w:type="dxa" w:w="80"/>
              <w:left w:type="dxa" w:w="100"/>
              <w:bottom w:type="dxa" w:w="80"/>
              <w:right w:type="dxa" w:w="100"/>
            </w:tcMar>
          </w:tcPr>
          <w:p>
            <w:r>
              <w:rPr>
                <w:sz w:val="20"/>
                <w:szCs w:val="20"/>
              </w:rPr>
              <w:t xml:space="preserve">Architecture</w:t>
            </w:r>
          </w:p>
        </w:tc>
        <w:tc>
          <w:tcPr>
            <w:tcW w:type="dxa" w:w="6770"/>
            <w:tcMar>
              <w:top w:type="dxa" w:w="80"/>
              <w:left w:type="dxa" w:w="100"/>
              <w:bottom w:type="dxa" w:w="80"/>
              <w:right w:type="dxa" w:w="100"/>
            </w:tcMar>
          </w:tcPr>
          <w:p>
            <w:r>
              <w:rPr>
                <w:sz w:val="20"/>
                <w:szCs w:val="20"/>
              </w:rPr>
              <w:t xml:space="preserve">Modular — each domain is a separate JS file, no module imports between them</w:t>
            </w:r>
          </w:p>
        </w:tc>
      </w:tr>
      <w:tr>
        <w:tc>
          <w:tcPr>
            <w:tcW w:type="dxa" w:w="3310"/>
            <w:tcMar>
              <w:top w:type="dxa" w:w="80"/>
              <w:left w:type="dxa" w:w="100"/>
              <w:bottom w:type="dxa" w:w="80"/>
              <w:right w:type="dxa" w:w="100"/>
            </w:tcMar>
          </w:tcPr>
          <w:p>
            <w:r>
              <w:rPr>
                <w:sz w:val="20"/>
                <w:szCs w:val="20"/>
              </w:rPr>
              <w:t xml:space="preserve">Database</w:t>
            </w:r>
          </w:p>
        </w:tc>
        <w:tc>
          <w:tcPr>
            <w:tcW w:type="dxa" w:w="6770"/>
            <w:tcMar>
              <w:top w:type="dxa" w:w="80"/>
              <w:left w:type="dxa" w:w="100"/>
              <w:bottom w:type="dxa" w:w="80"/>
              <w:right w:type="dxa" w:w="100"/>
            </w:tcMar>
          </w:tcPr>
          <w:p>
            <w:r>
              <w:rPr>
                <w:sz w:val="20"/>
                <w:szCs w:val="20"/>
              </w:rPr>
              <w:t xml:space="preserve">Cloudflare D1 (SQLite) — single database meridian-etf (ID 43e80149-5333-4917-b678-6a8218ca4f93), shared across the ETF, Entities, 13F, and Filings domains. 345MB storage in use; 27 tables total (up from 18 in v9) — see Section 3.</w:t>
            </w:r>
          </w:p>
        </w:tc>
      </w:tr>
      <w:tr>
        <w:tc>
          <w:tcPr>
            <w:tcW w:type="dxa" w:w="3310"/>
            <w:tcMar>
              <w:top w:type="dxa" w:w="80"/>
              <w:left w:type="dxa" w:w="100"/>
              <w:bottom w:type="dxa" w:w="80"/>
              <w:right w:type="dxa" w:w="100"/>
            </w:tcMar>
          </w:tcPr>
          <w:p>
            <w:r>
              <w:rPr>
                <w:sz w:val="20"/>
                <w:szCs w:val="20"/>
              </w:rPr>
              <w:t xml:space="preserve">Version control</w:t>
            </w:r>
          </w:p>
        </w:tc>
        <w:tc>
          <w:tcPr>
            <w:tcW w:type="dxa" w:w="6770"/>
            <w:tcMar>
              <w:top w:type="dxa" w:w="80"/>
              <w:left w:type="dxa" w:w="100"/>
              <w:bottom w:type="dxa" w:w="80"/>
              <w:right w:type="dxa" w:w="100"/>
            </w:tcMar>
          </w:tcPr>
          <w:p>
            <w:r>
              <w:rPr>
                <w:sz w:val="20"/>
                <w:szCs w:val="20"/>
              </w:rPr>
              <w:t xml:space="preserve">GitHub — navinmv81/meridian-atlas. Local work connected to GitHub for the first time in the June cycle; see Section 15.</w:t>
            </w:r>
          </w:p>
        </w:tc>
      </w:tr>
      <w:tr>
        <w:tc>
          <w:tcPr>
            <w:tcW w:type="dxa" w:w="3310"/>
            <w:tcMar>
              <w:top w:type="dxa" w:w="80"/>
              <w:left w:type="dxa" w:w="100"/>
              <w:bottom w:type="dxa" w:w="80"/>
              <w:right w:type="dxa" w:w="100"/>
            </w:tcMar>
          </w:tcPr>
          <w:p>
            <w:r>
              <w:rPr>
                <w:sz w:val="20"/>
                <w:szCs w:val="20"/>
              </w:rPr>
              <w:t xml:space="preserve">Data sources</w:t>
            </w:r>
          </w:p>
        </w:tc>
        <w:tc>
          <w:tcPr>
            <w:tcW w:type="dxa" w:w="6770"/>
            <w:tcMar>
              <w:top w:type="dxa" w:w="80"/>
              <w:left w:type="dxa" w:w="100"/>
              <w:bottom w:type="dxa" w:w="80"/>
              <w:right w:type="dxa" w:w="100"/>
            </w:tcMar>
          </w:tcPr>
          <w:p>
            <w:r>
              <w:rPr>
                <w:sz w:val="20"/>
                <w:szCs w:val="20"/>
              </w:rPr>
              <w:t xml:space="preserve">SEC EDGAR (N-PORT, bulk filings, 13F filings, 10-K/10-Q/8-K, XBRL company facts — 13F and filings sources NEW in the July Sprint), GLEIF (LEI + entity registry, public API + bulk Golden Copy file), Yahoo Finance</w:t>
            </w:r>
          </w:p>
        </w:tc>
      </w:tr>
      <w:tr>
        <w:tc>
          <w:tcPr>
            <w:tcW w:type="dxa" w:w="3310"/>
            <w:tcMar>
              <w:top w:type="dxa" w:w="80"/>
              <w:left w:type="dxa" w:w="100"/>
              <w:bottom w:type="dxa" w:w="80"/>
              <w:right w:type="dxa" w:w="100"/>
            </w:tcMar>
          </w:tcPr>
          <w:p>
            <w:r>
              <w:rPr>
                <w:sz w:val="20"/>
                <w:szCs w:val="20"/>
              </w:rPr>
              <w:t xml:space="preserve">Background jobs</w:t>
            </w:r>
          </w:p>
        </w:tc>
        <w:tc>
          <w:tcPr>
            <w:tcW w:type="dxa" w:w="6770"/>
            <w:tcMar>
              <w:top w:type="dxa" w:w="80"/>
              <w:left w:type="dxa" w:w="100"/>
              <w:bottom w:type="dxa" w:w="80"/>
              <w:right w:type="dxa" w:w="100"/>
            </w:tcMar>
          </w:tcPr>
          <w:p>
            <w:r>
              <w:rPr>
                <w:sz w:val="20"/>
                <w:szCs w:val="20"/>
              </w:rPr>
              <w:t xml:space="preserve">9 Cloudflare Workers total (up from 7 in v9). Only 2 currently carry active cron triggers — meridian-holdings and meridian-bootstrap. meridian-entities-seed, meridian-entities-enrich, and meridian-entities-delta are FROZEN (crons removed) pending Sprint 3 stabilization; meridian-13f, meridian-filings, and meridian-entities-api are on-request only, no cron. See Section 2.</w:t>
            </w:r>
          </w:p>
        </w:tc>
      </w:tr>
      <w:tr>
        <w:tc>
          <w:tcPr>
            <w:tcW w:type="dxa" w:w="3310"/>
            <w:tcMar>
              <w:top w:type="dxa" w:w="80"/>
              <w:left w:type="dxa" w:w="100"/>
              <w:bottom w:type="dxa" w:w="80"/>
              <w:right w:type="dxa" w:w="100"/>
            </w:tcMar>
          </w:tcPr>
          <w:p>
            <w:r>
              <w:rPr>
                <w:sz w:val="20"/>
                <w:szCs w:val="20"/>
              </w:rPr>
              <w:t xml:space="preserve">Cost constraint</w:t>
            </w:r>
          </w:p>
        </w:tc>
        <w:tc>
          <w:tcPr>
            <w:tcW w:type="dxa" w:w="6770"/>
            <w:tcMar>
              <w:top w:type="dxa" w:w="80"/>
              <w:left w:type="dxa" w:w="100"/>
              <w:bottom w:type="dxa" w:w="80"/>
              <w:right w:type="dxa" w:w="100"/>
            </w:tcMar>
          </w:tcPr>
          <w:p>
            <w:r>
              <w:rPr>
                <w:sz w:val="20"/>
                <w:szCs w:val="20"/>
              </w:rPr>
              <w:t xml:space="preserve">Free tier only — D1 limits: 100k writes/day, 5M reads/day, 5GB storage. These are soft caps enforced by self-discipline, not hard-blocked by Cloudflare (confirmed empirically in the July Sprint — over-cap writes are accepted without data loss, but budgets should still be respected). 345MB of the 5GB storage limit in use as of July 23, 2026.</w:t>
            </w:r>
          </w:p>
        </w:tc>
      </w:tr>
    </w:tbl>
    <w:p>
      <w:pPr>
        <w:spacing w:after="160" w:before="0"/>
      </w:pPr>
      <w:r>
        <w:rPr>
          <w:i/>
          <w:iCs/>
        </w:rPr>
        <w:t xml:space="preserve">Critical distinction (since v9): the frontend (static files) and backend (Workers + D1) are deployed through completely separate mechanisms with no automatic link between them. Pushing to GitHub does not redeploy any Worker. Running wrangler deploy does not update the live frontend. See Section 15 for the full deployment record.</w:t>
      </w:r>
    </w:p>
    <w:p>
      <w:pPr>
        <w:pStyle w:val="Heading1"/>
        <w:spacing w:after="180" w:before="360"/>
      </w:pPr>
      <w:r>
        <w:rPr>
          <w:b/>
          <w:bCs/>
          <w:sz w:val="28"/>
          <w:szCs w:val="28"/>
        </w:rPr>
        <w:t xml:space="preserve">2. File Structure</w:t>
      </w:r>
    </w:p>
    <w:p>
      <w:pPr>
        <w:pStyle w:val="Heading2"/>
        <w:spacing w:after="120" w:before="240"/>
      </w:pPr>
      <w:r>
        <w:rPr>
          <w:b/>
          <w:bCs/>
          <w:sz w:val="24"/>
          <w:szCs w:val="24"/>
        </w:rPr>
        <w:t xml:space="preserve">2.1 Frontend Files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2621"/>
        <w:gridCol w:w="1512"/>
        <w:gridCol w:w="4536"/>
      </w:tblGrid>
      <w:tr>
        <w:trPr>
          <w:tblHeader/>
        </w:trPr>
        <w:tc>
          <w:tcPr>
            <w:tcW w:type="dxa" w:w="1411"/>
            <w:shd w:fill="D9E2F3" w:val="clear"/>
            <w:tcMar>
              <w:top w:type="dxa" w:w="80"/>
              <w:left w:type="dxa" w:w="100"/>
              <w:bottom w:type="dxa" w:w="80"/>
              <w:right w:type="dxa" w:w="100"/>
            </w:tcMar>
          </w:tcPr>
          <w:p>
            <w:r>
              <w:rPr>
                <w:b/>
                <w:bCs/>
                <w:sz w:val="20"/>
                <w:szCs w:val="20"/>
              </w:rPr>
              <w:t xml:space="preserve">File</w:t>
            </w:r>
          </w:p>
        </w:tc>
        <w:tc>
          <w:tcPr>
            <w:tcW w:type="dxa" w:w="2621"/>
            <w:shd w:fill="D9E2F3" w:val="clear"/>
            <w:tcMar>
              <w:top w:type="dxa" w:w="80"/>
              <w:left w:type="dxa" w:w="100"/>
              <w:bottom w:type="dxa" w:w="80"/>
              <w:right w:type="dxa" w:w="100"/>
            </w:tcMar>
          </w:tcPr>
          <w:p>
            <w:r>
              <w:rPr>
                <w:b/>
                <w:bCs/>
                <w:sz w:val="20"/>
                <w:szCs w:val="20"/>
              </w:rPr>
              <w:t xml:space="preserve">Responsibility</w:t>
            </w:r>
          </w:p>
        </w:tc>
        <w:tc>
          <w:tcPr>
            <w:tcW w:type="dxa" w:w="1512"/>
            <w:shd w:fill="D9E2F3" w:val="clear"/>
            <w:tcMar>
              <w:top w:type="dxa" w:w="80"/>
              <w:left w:type="dxa" w:w="100"/>
              <w:bottom w:type="dxa" w:w="80"/>
              <w:right w:type="dxa" w:w="100"/>
            </w:tcMar>
          </w:tcPr>
          <w:p>
            <w:r>
              <w:rPr>
                <w:b/>
                <w:bCs/>
                <w:sz w:val="20"/>
                <w:szCs w:val="20"/>
              </w:rPr>
              <w:t xml:space="preserve">Status</w:t>
            </w:r>
          </w:p>
        </w:tc>
        <w:tc>
          <w:tcPr>
            <w:tcW w:type="dxa" w:w="4536"/>
            <w:shd w:fill="D9E2F3" w:val="clear"/>
            <w:tcMar>
              <w:top w:type="dxa" w:w="80"/>
              <w:left w:type="dxa" w:w="100"/>
              <w:bottom w:type="dxa" w:w="80"/>
              <w:right w:type="dxa" w:w="100"/>
            </w:tcMar>
          </w:tcPr>
          <w:p>
            <w:r>
              <w:rPr>
                <w:b/>
                <w:bCs/>
                <w:sz w:val="20"/>
                <w:szCs w:val="20"/>
              </w:rPr>
              <w:t xml:space="preserve">Latest Notes</w:t>
            </w:r>
          </w:p>
        </w:tc>
      </w:tr>
      <w:tr>
        <w:tc>
          <w:tcPr>
            <w:tcW w:type="dxa" w:w="1411"/>
            <w:tcMar>
              <w:top w:type="dxa" w:w="80"/>
              <w:left w:type="dxa" w:w="100"/>
              <w:bottom w:type="dxa" w:w="80"/>
              <w:right w:type="dxa" w:w="100"/>
            </w:tcMar>
          </w:tcPr>
          <w:p>
            <w:r>
              <w:rPr>
                <w:sz w:val="20"/>
                <w:szCs w:val="20"/>
              </w:rPr>
              <w:t xml:space="preserve">index.html</w:t>
            </w:r>
          </w:p>
        </w:tc>
        <w:tc>
          <w:tcPr>
            <w:tcW w:type="dxa" w:w="2621"/>
            <w:tcMar>
              <w:top w:type="dxa" w:w="80"/>
              <w:left w:type="dxa" w:w="100"/>
              <w:bottom w:type="dxa" w:w="80"/>
              <w:right w:type="dxa" w:w="100"/>
            </w:tcMar>
          </w:tcPr>
          <w:p>
            <w:r>
              <w:rPr>
                <w:sz w:val="20"/>
                <w:szCs w:val="20"/>
              </w:rPr>
              <w:t xml:space="preserve">Main entry point, unified navigation, OPS nav button</w:t>
            </w:r>
          </w:p>
        </w:tc>
        <w:tc>
          <w:tcPr>
            <w:tcW w:type="dxa" w:w="1512"/>
            <w:tcMar>
              <w:top w:type="dxa" w:w="80"/>
              <w:left w:type="dxa" w:w="100"/>
              <w:bottom w:type="dxa" w:w="80"/>
              <w:right w:type="dxa" w:w="100"/>
            </w:tcMar>
          </w:tcPr>
          <w:p>
            <w:r>
              <w:rPr>
                <w:sz w:val="20"/>
                <w:szCs w:val="20"/>
              </w:rPr>
              <w:t xml:space="preserve">STABLE</w:t>
            </w:r>
          </w:p>
        </w:tc>
        <w:tc>
          <w:tcPr>
            <w:tcW w:type="dxa" w:w="4536"/>
            <w:tcMar>
              <w:top w:type="dxa" w:w="80"/>
              <w:left w:type="dxa" w:w="100"/>
              <w:bottom w:type="dxa" w:w="80"/>
              <w:right w:type="dxa" w:w="100"/>
            </w:tcMar>
          </w:tcPr>
          <w:p>
            <w:r>
              <w:rPr>
                <w:sz w:val="20"/>
                <w:szCs w:val="20"/>
              </w:rPr>
              <w:t xml:space="preserve">Unchanged in the July Sprint. Loads all modules in fixed order via plain &lt;script&gt; tags: ma-etf.js, ma-13f.js, ma-entities.js, ma-modal.js, ma-market.js, ma-research.js, ma-search.js, ma-data.js, ma-ops.js, ma-dcf.js.</w:t>
            </w:r>
          </w:p>
        </w:tc>
      </w:tr>
      <w:tr>
        <w:tc>
          <w:tcPr>
            <w:tcW w:type="dxa" w:w="1411"/>
            <w:tcMar>
              <w:top w:type="dxa" w:w="80"/>
              <w:left w:type="dxa" w:w="100"/>
              <w:bottom w:type="dxa" w:w="80"/>
              <w:right w:type="dxa" w:w="100"/>
            </w:tcMar>
          </w:tcPr>
          <w:p>
            <w:r>
              <w:rPr>
                <w:sz w:val="20"/>
                <w:szCs w:val="20"/>
              </w:rPr>
              <w:t xml:space="preserve">ma-etf.js</w:t>
            </w:r>
          </w:p>
        </w:tc>
        <w:tc>
          <w:tcPr>
            <w:tcW w:type="dxa" w:w="2621"/>
            <w:tcMar>
              <w:top w:type="dxa" w:w="80"/>
              <w:left w:type="dxa" w:w="100"/>
              <w:bottom w:type="dxa" w:w="80"/>
              <w:right w:type="dxa" w:w="100"/>
            </w:tcMar>
          </w:tcPr>
          <w:p>
            <w:r>
              <w:rPr>
                <w:sz w:val="20"/>
                <w:szCs w:val="20"/>
              </w:rPr>
              <w:t xml:space="preserve">ETF analytics — launcher, detail view, Overlap/Compare/Exposure/Universe</w:t>
            </w:r>
          </w:p>
        </w:tc>
        <w:tc>
          <w:tcPr>
            <w:tcW w:type="dxa" w:w="1512"/>
            <w:tcMar>
              <w:top w:type="dxa" w:w="80"/>
              <w:left w:type="dxa" w:w="100"/>
              <w:bottom w:type="dxa" w:w="80"/>
              <w:right w:type="dxa" w:w="100"/>
            </w:tcMar>
          </w:tcPr>
          <w:p>
            <w:r>
              <w:rPr>
                <w:sz w:val="20"/>
                <w:szCs w:val="20"/>
              </w:rPr>
              <w:t xml:space="preserve">STABLE</w:t>
            </w:r>
          </w:p>
        </w:tc>
        <w:tc>
          <w:tcPr>
            <w:tcW w:type="dxa" w:w="4536"/>
            <w:tcMar>
              <w:top w:type="dxa" w:w="80"/>
              <w:left w:type="dxa" w:w="100"/>
              <w:bottom w:type="dxa" w:w="80"/>
              <w:right w:type="dxa" w:w="100"/>
            </w:tcMar>
          </w:tcPr>
          <w:p>
            <w:r>
              <w:rPr>
                <w:sz w:val="20"/>
                <w:szCs w:val="20"/>
              </w:rPr>
              <w:t xml:space="preserve">Substantially rebuilt in v9; unchanged through Sprint 2 and Sprint 3.</w:t>
            </w:r>
          </w:p>
        </w:tc>
      </w:tr>
      <w:tr>
        <w:tc>
          <w:tcPr>
            <w:tcW w:type="dxa" w:w="1411"/>
            <w:tcMar>
              <w:top w:type="dxa" w:w="80"/>
              <w:left w:type="dxa" w:w="100"/>
              <w:bottom w:type="dxa" w:w="80"/>
              <w:right w:type="dxa" w:w="100"/>
            </w:tcMar>
          </w:tcPr>
          <w:p>
            <w:r>
              <w:rPr>
                <w:sz w:val="20"/>
                <w:szCs w:val="20"/>
              </w:rPr>
              <w:t xml:space="preserve">ma-entities.js</w:t>
            </w:r>
          </w:p>
        </w:tc>
        <w:tc>
          <w:tcPr>
            <w:tcW w:type="dxa" w:w="2621"/>
            <w:tcMar>
              <w:top w:type="dxa" w:w="80"/>
              <w:left w:type="dxa" w:w="100"/>
              <w:bottom w:type="dxa" w:w="80"/>
              <w:right w:type="dxa" w:w="100"/>
            </w:tcMar>
          </w:tcPr>
          <w:p>
            <w:r>
              <w:rPr>
                <w:sz w:val="20"/>
                <w:szCs w:val="20"/>
              </w:rPr>
              <w:t xml:space="preserve">Corporate Atlas — entity galaxy, search, detail pages, Fund Manager display, Issuer page</w:t>
            </w:r>
          </w:p>
        </w:tc>
        <w:tc>
          <w:tcPr>
            <w:tcW w:type="dxa" w:w="1512"/>
            <w:tcMar>
              <w:top w:type="dxa" w:w="80"/>
              <w:left w:type="dxa" w:w="100"/>
              <w:bottom w:type="dxa" w:w="80"/>
              <w:right w:type="dxa" w:w="100"/>
            </w:tcMar>
          </w:tcPr>
          <w:p>
            <w:r>
              <w:rPr>
                <w:sz w:val="20"/>
                <w:szCs w:val="20"/>
              </w:rPr>
              <w:t xml:space="preserve">UPDATED — Sprint 3</w:t>
            </w:r>
          </w:p>
        </w:tc>
        <w:tc>
          <w:tcPr>
            <w:tcW w:type="dxa" w:w="4536"/>
            <w:tcMar>
              <w:top w:type="dxa" w:w="80"/>
              <w:left w:type="dxa" w:w="100"/>
              <w:bottom w:type="dxa" w:w="80"/>
              <w:right w:type="dxa" w:w="100"/>
            </w:tcMar>
          </w:tcPr>
          <w:p>
            <w:r>
              <w:rPr>
                <w:sz w:val="20"/>
                <w:szCs w:val="20"/>
              </w:rPr>
              <w:t xml:space="preserve">6 new ent_-prefixed Issuer page functions added: ent_renderOwnership, ent_renderFinancials, ent_renderEvents, ent_renderFilings, ent_renderOverlap, ent_injectIssuerPanels. showEntityOverlay extended with a null guard. New formatValue helper for financial figure formatting. See Section 17.5.</w:t>
            </w:r>
          </w:p>
        </w:tc>
      </w:tr>
      <w:tr>
        <w:tc>
          <w:tcPr>
            <w:tcW w:type="dxa" w:w="1411"/>
            <w:tcMar>
              <w:top w:type="dxa" w:w="80"/>
              <w:left w:type="dxa" w:w="100"/>
              <w:bottom w:type="dxa" w:w="80"/>
              <w:right w:type="dxa" w:w="100"/>
            </w:tcMar>
          </w:tcPr>
          <w:p>
            <w:r>
              <w:rPr>
                <w:sz w:val="20"/>
                <w:szCs w:val="20"/>
              </w:rPr>
              <w:t xml:space="preserve">ma-13f.js</w:t>
            </w:r>
          </w:p>
        </w:tc>
        <w:tc>
          <w:tcPr>
            <w:tcW w:type="dxa" w:w="2621"/>
            <w:tcMar>
              <w:top w:type="dxa" w:w="80"/>
              <w:left w:type="dxa" w:w="100"/>
              <w:bottom w:type="dxa" w:w="80"/>
              <w:right w:type="dxa" w:w="100"/>
            </w:tcMar>
          </w:tcPr>
          <w:p>
            <w:r>
              <w:rPr>
                <w:sz w:val="20"/>
                <w:szCs w:val="20"/>
              </w:rPr>
              <w:t xml:space="preserve">SEC 13F filing search/display UI, Manager pages</w:t>
            </w:r>
          </w:p>
        </w:tc>
        <w:tc>
          <w:tcPr>
            <w:tcW w:type="dxa" w:w="1512"/>
            <w:tcMar>
              <w:top w:type="dxa" w:w="80"/>
              <w:left w:type="dxa" w:w="100"/>
              <w:bottom w:type="dxa" w:w="80"/>
              <w:right w:type="dxa" w:w="100"/>
            </w:tcMar>
          </w:tcPr>
          <w:p>
            <w:r>
              <w:rPr>
                <w:sz w:val="20"/>
                <w:szCs w:val="20"/>
              </w:rPr>
              <w:t xml:space="preserve">UPDATED — Sprint 2</w:t>
            </w:r>
          </w:p>
        </w:tc>
        <w:tc>
          <w:tcPr>
            <w:tcW w:type="dxa" w:w="4536"/>
            <w:tcMar>
              <w:top w:type="dxa" w:w="80"/>
              <w:left w:type="dxa" w:w="100"/>
              <w:bottom w:type="dxa" w:w="80"/>
              <w:right w:type="dxa" w:w="100"/>
            </w:tcMar>
          </w:tcPr>
          <w:p>
            <w:r>
              <w:rPr>
                <w:sz w:val="20"/>
                <w:szCs w:val="20"/>
              </w:rPr>
              <w:t xml:space="preserve">Persistence pipeline built this cycle (previously UI-shell only, see v9 Section 16). New constants WORKER_13F_URL, WORKER_FILINGS_URL. 14 new mgr_-prefixed Manager page functions. UX approved at gate S2.19. See Section 16.5.</w:t>
            </w:r>
          </w:p>
        </w:tc>
      </w:tr>
      <w:tr>
        <w:tc>
          <w:tcPr>
            <w:tcW w:type="dxa" w:w="1411"/>
            <w:tcMar>
              <w:top w:type="dxa" w:w="80"/>
              <w:left w:type="dxa" w:w="100"/>
              <w:bottom w:type="dxa" w:w="80"/>
              <w:right w:type="dxa" w:w="100"/>
            </w:tcMar>
          </w:tcPr>
          <w:p>
            <w:r>
              <w:rPr>
                <w:sz w:val="20"/>
                <w:szCs w:val="20"/>
              </w:rPr>
              <w:t xml:space="preserve">ma-ops.js</w:t>
            </w:r>
          </w:p>
        </w:tc>
        <w:tc>
          <w:tcPr>
            <w:tcW w:type="dxa" w:w="2621"/>
            <w:tcMar>
              <w:top w:type="dxa" w:w="80"/>
              <w:left w:type="dxa" w:w="100"/>
              <w:bottom w:type="dxa" w:w="80"/>
              <w:right w:type="dxa" w:w="100"/>
            </w:tcMar>
          </w:tcPr>
          <w:p>
            <w:r>
              <w:rPr>
                <w:sz w:val="20"/>
                <w:szCs w:val="20"/>
              </w:rPr>
              <w:t xml:space="preserve">Operational visibility dashboard</w:t>
            </w:r>
          </w:p>
        </w:tc>
        <w:tc>
          <w:tcPr>
            <w:tcW w:type="dxa" w:w="1512"/>
            <w:tcMar>
              <w:top w:type="dxa" w:w="80"/>
              <w:left w:type="dxa" w:w="100"/>
              <w:bottom w:type="dxa" w:w="80"/>
              <w:right w:type="dxa" w:w="100"/>
            </w:tcMar>
          </w:tcPr>
          <w:p>
            <w:r>
              <w:rPr>
                <w:sz w:val="20"/>
                <w:szCs w:val="20"/>
              </w:rPr>
              <w:t xml:space="preserve">NEW in v9</w:t>
            </w:r>
          </w:p>
        </w:tc>
        <w:tc>
          <w:tcPr>
            <w:tcW w:type="dxa" w:w="4536"/>
            <w:tcMar>
              <w:top w:type="dxa" w:w="80"/>
              <w:left w:type="dxa" w:w="100"/>
              <w:bottom w:type="dxa" w:w="80"/>
              <w:right w:type="dxa" w:w="100"/>
            </w:tcMar>
          </w:tcPr>
          <w:p>
            <w:r>
              <w:rPr>
                <w:sz w:val="20"/>
                <w:szCs w:val="20"/>
              </w:rPr>
              <w:t xml:space="preserve">Unchanged this cycle.</w:t>
            </w:r>
          </w:p>
        </w:tc>
      </w:tr>
      <w:tr>
        <w:tc>
          <w:tcPr>
            <w:tcW w:type="dxa" w:w="1411"/>
            <w:tcMar>
              <w:top w:type="dxa" w:w="80"/>
              <w:left w:type="dxa" w:w="100"/>
              <w:bottom w:type="dxa" w:w="80"/>
              <w:right w:type="dxa" w:w="100"/>
            </w:tcMar>
          </w:tcPr>
          <w:p>
            <w:r>
              <w:rPr>
                <w:sz w:val="20"/>
                <w:szCs w:val="20"/>
              </w:rPr>
              <w:t xml:space="preserve">ma-modal.js</w:t>
            </w:r>
          </w:p>
        </w:tc>
        <w:tc>
          <w:tcPr>
            <w:tcW w:type="dxa" w:w="2621"/>
            <w:tcMar>
              <w:top w:type="dxa" w:w="80"/>
              <w:left w:type="dxa" w:w="100"/>
              <w:bottom w:type="dxa" w:w="80"/>
              <w:right w:type="dxa" w:w="100"/>
            </w:tcMar>
          </w:tcPr>
          <w:p>
            <w:r>
              <w:rPr>
                <w:sz w:val="20"/>
                <w:szCs w:val="20"/>
              </w:rPr>
              <w:t xml:space="preserve">Pop-up layer for alerts, inputs, confirmations</w:t>
            </w:r>
          </w:p>
        </w:tc>
        <w:tc>
          <w:tcPr>
            <w:tcW w:type="dxa" w:w="1512"/>
            <w:tcMar>
              <w:top w:type="dxa" w:w="80"/>
              <w:left w:type="dxa" w:w="100"/>
              <w:bottom w:type="dxa" w:w="80"/>
              <w:right w:type="dxa" w:w="100"/>
            </w:tcMar>
          </w:tcPr>
          <w:p>
            <w:r>
              <w:rPr>
                <w:sz w:val="20"/>
                <w:szCs w:val="20"/>
              </w:rPr>
              <w:t xml:space="preserve">STABLE</w:t>
            </w:r>
          </w:p>
        </w:tc>
        <w:tc>
          <w:tcPr>
            <w:tcW w:type="dxa" w:w="4536"/>
            <w:tcMar>
              <w:top w:type="dxa" w:w="80"/>
              <w:left w:type="dxa" w:w="100"/>
              <w:bottom w:type="dxa" w:w="80"/>
              <w:right w:type="dxa" w:w="100"/>
            </w:tcMar>
          </w:tcPr>
          <w:p>
            <w:r>
              <w:rPr>
                <w:sz w:val="20"/>
                <w:szCs w:val="20"/>
              </w:rPr>
              <w:t xml:space="preserve">Unchanged since v9.</w:t>
            </w:r>
          </w:p>
        </w:tc>
      </w:tr>
      <w:tr>
        <w:tc>
          <w:tcPr>
            <w:tcW w:type="dxa" w:w="1411"/>
            <w:tcMar>
              <w:top w:type="dxa" w:w="80"/>
              <w:left w:type="dxa" w:w="100"/>
              <w:bottom w:type="dxa" w:w="80"/>
              <w:right w:type="dxa" w:w="100"/>
            </w:tcMar>
          </w:tcPr>
          <w:p>
            <w:r>
              <w:rPr>
                <w:sz w:val="20"/>
                <w:szCs w:val="20"/>
              </w:rPr>
              <w:t xml:space="preserve">ma-dcf.js</w:t>
            </w:r>
          </w:p>
        </w:tc>
        <w:tc>
          <w:tcPr>
            <w:tcW w:type="dxa" w:w="2621"/>
            <w:tcMar>
              <w:top w:type="dxa" w:w="80"/>
              <w:left w:type="dxa" w:w="100"/>
              <w:bottom w:type="dxa" w:w="80"/>
              <w:right w:type="dxa" w:w="100"/>
            </w:tcMar>
          </w:tcPr>
          <w:p>
            <w:r>
              <w:rPr>
                <w:sz w:val="20"/>
                <w:szCs w:val="20"/>
              </w:rPr>
              <w:t xml:space="preserve">Discounted cash flow valuation tools</w:t>
            </w:r>
          </w:p>
        </w:tc>
        <w:tc>
          <w:tcPr>
            <w:tcW w:type="dxa" w:w="1512"/>
            <w:tcMar>
              <w:top w:type="dxa" w:w="80"/>
              <w:left w:type="dxa" w:w="100"/>
              <w:bottom w:type="dxa" w:w="80"/>
              <w:right w:type="dxa" w:w="100"/>
            </w:tcMar>
          </w:tcPr>
          <w:p>
            <w:r>
              <w:rPr>
                <w:sz w:val="20"/>
                <w:szCs w:val="20"/>
              </w:rPr>
              <w:t xml:space="preserve">BETA</w:t>
            </w:r>
          </w:p>
        </w:tc>
        <w:tc>
          <w:tcPr>
            <w:tcW w:type="dxa" w:w="4536"/>
            <w:tcMar>
              <w:top w:type="dxa" w:w="80"/>
              <w:left w:type="dxa" w:w="100"/>
              <w:bottom w:type="dxa" w:w="80"/>
              <w:right w:type="dxa" w:w="100"/>
            </w:tcMar>
          </w:tcPr>
          <w:p>
            <w:r>
              <w:rPr>
                <w:sz w:val="20"/>
                <w:szCs w:val="20"/>
              </w:rPr>
              <w:t xml:space="preserve">Unchanged since v9.</w:t>
            </w:r>
          </w:p>
        </w:tc>
      </w:tr>
      <w:tr>
        <w:tc>
          <w:tcPr>
            <w:tcW w:type="dxa" w:w="1411"/>
            <w:tcMar>
              <w:top w:type="dxa" w:w="80"/>
              <w:left w:type="dxa" w:w="100"/>
              <w:bottom w:type="dxa" w:w="80"/>
              <w:right w:type="dxa" w:w="100"/>
            </w:tcMar>
          </w:tcPr>
          <w:p>
            <w:r>
              <w:rPr>
                <w:sz w:val="20"/>
                <w:szCs w:val="20"/>
              </w:rPr>
              <w:t xml:space="preserve">ma-market.js</w:t>
            </w:r>
          </w:p>
        </w:tc>
        <w:tc>
          <w:tcPr>
            <w:tcW w:type="dxa" w:w="2621"/>
            <w:tcMar>
              <w:top w:type="dxa" w:w="80"/>
              <w:left w:type="dxa" w:w="100"/>
              <w:bottom w:type="dxa" w:w="80"/>
              <w:right w:type="dxa" w:w="100"/>
            </w:tcMar>
          </w:tcPr>
          <w:p>
            <w:r>
              <w:rPr>
                <w:sz w:val="20"/>
                <w:szCs w:val="20"/>
              </w:rPr>
              <w:t xml:space="preserve">Real-time price tracking and market monitoring</w:t>
            </w:r>
          </w:p>
        </w:tc>
        <w:tc>
          <w:tcPr>
            <w:tcW w:type="dxa" w:w="1512"/>
            <w:tcMar>
              <w:top w:type="dxa" w:w="80"/>
              <w:left w:type="dxa" w:w="100"/>
              <w:bottom w:type="dxa" w:w="80"/>
              <w:right w:type="dxa" w:w="100"/>
            </w:tcMar>
          </w:tcPr>
          <w:p>
            <w:r>
              <w:rPr>
                <w:sz w:val="20"/>
                <w:szCs w:val="20"/>
              </w:rPr>
              <w:t xml:space="preserve">STABLE</w:t>
            </w:r>
          </w:p>
        </w:tc>
        <w:tc>
          <w:tcPr>
            <w:tcW w:type="dxa" w:w="4536"/>
            <w:tcMar>
              <w:top w:type="dxa" w:w="80"/>
              <w:left w:type="dxa" w:w="100"/>
              <w:bottom w:type="dxa" w:w="80"/>
              <w:right w:type="dxa" w:w="100"/>
            </w:tcMar>
          </w:tcPr>
          <w:p>
            <w:r>
              <w:rPr>
                <w:sz w:val="20"/>
                <w:szCs w:val="20"/>
              </w:rPr>
              <w:t xml:space="preserve">Unchanged since v9.</w:t>
            </w:r>
          </w:p>
        </w:tc>
      </w:tr>
      <w:tr>
        <w:tc>
          <w:tcPr>
            <w:tcW w:type="dxa" w:w="1411"/>
            <w:tcMar>
              <w:top w:type="dxa" w:w="80"/>
              <w:left w:type="dxa" w:w="100"/>
              <w:bottom w:type="dxa" w:w="80"/>
              <w:right w:type="dxa" w:w="100"/>
            </w:tcMar>
          </w:tcPr>
          <w:p>
            <w:r>
              <w:rPr>
                <w:sz w:val="20"/>
                <w:szCs w:val="20"/>
              </w:rPr>
              <w:t xml:space="preserve">ma-research.js</w:t>
            </w:r>
          </w:p>
        </w:tc>
        <w:tc>
          <w:tcPr>
            <w:tcW w:type="dxa" w:w="2621"/>
            <w:tcMar>
              <w:top w:type="dxa" w:w="80"/>
              <w:left w:type="dxa" w:w="100"/>
              <w:bottom w:type="dxa" w:w="80"/>
              <w:right w:type="dxa" w:w="100"/>
            </w:tcMar>
          </w:tcPr>
          <w:p>
            <w:r>
              <w:rPr>
                <w:sz w:val="20"/>
                <w:szCs w:val="20"/>
              </w:rPr>
              <w:t xml:space="preserve">Aggregated research reports and analytical content</w:t>
            </w:r>
          </w:p>
        </w:tc>
        <w:tc>
          <w:tcPr>
            <w:tcW w:type="dxa" w:w="1512"/>
            <w:tcMar>
              <w:top w:type="dxa" w:w="80"/>
              <w:left w:type="dxa" w:w="100"/>
              <w:bottom w:type="dxa" w:w="80"/>
              <w:right w:type="dxa" w:w="100"/>
            </w:tcMar>
          </w:tcPr>
          <w:p>
            <w:r>
              <w:rPr>
                <w:sz w:val="20"/>
                <w:szCs w:val="20"/>
              </w:rPr>
              <w:t xml:space="preserve">STABLE</w:t>
            </w:r>
          </w:p>
        </w:tc>
        <w:tc>
          <w:tcPr>
            <w:tcW w:type="dxa" w:w="4536"/>
            <w:tcMar>
              <w:top w:type="dxa" w:w="80"/>
              <w:left w:type="dxa" w:w="100"/>
              <w:bottom w:type="dxa" w:w="80"/>
              <w:right w:type="dxa" w:w="100"/>
            </w:tcMar>
          </w:tcPr>
          <w:p>
            <w:r>
              <w:rPr>
                <w:sz w:val="20"/>
                <w:szCs w:val="20"/>
              </w:rPr>
              <w:t xml:space="preserve">Unchanged since v9.</w:t>
            </w:r>
          </w:p>
        </w:tc>
      </w:tr>
      <w:tr>
        <w:tc>
          <w:tcPr>
            <w:tcW w:type="dxa" w:w="1411"/>
            <w:tcMar>
              <w:top w:type="dxa" w:w="80"/>
              <w:left w:type="dxa" w:w="100"/>
              <w:bottom w:type="dxa" w:w="80"/>
              <w:right w:type="dxa" w:w="100"/>
            </w:tcMar>
          </w:tcPr>
          <w:p>
            <w:r>
              <w:rPr>
                <w:sz w:val="20"/>
                <w:szCs w:val="20"/>
              </w:rPr>
              <w:t xml:space="preserve">ma-data.js</w:t>
            </w:r>
          </w:p>
        </w:tc>
        <w:tc>
          <w:tcPr>
            <w:tcW w:type="dxa" w:w="2621"/>
            <w:tcMar>
              <w:top w:type="dxa" w:w="80"/>
              <w:left w:type="dxa" w:w="100"/>
              <w:bottom w:type="dxa" w:w="80"/>
              <w:right w:type="dxa" w:w="100"/>
            </w:tcMar>
          </w:tcPr>
          <w:p>
            <w:r>
              <w:rPr>
                <w:sz w:val="20"/>
                <w:szCs w:val="20"/>
              </w:rPr>
              <w:t xml:space="preserve">Market data feed aggregation and management</w:t>
            </w:r>
          </w:p>
        </w:tc>
        <w:tc>
          <w:tcPr>
            <w:tcW w:type="dxa" w:w="1512"/>
            <w:tcMar>
              <w:top w:type="dxa" w:w="80"/>
              <w:left w:type="dxa" w:w="100"/>
              <w:bottom w:type="dxa" w:w="80"/>
              <w:right w:type="dxa" w:w="100"/>
            </w:tcMar>
          </w:tcPr>
          <w:p>
            <w:r>
              <w:rPr>
                <w:sz w:val="20"/>
                <w:szCs w:val="20"/>
              </w:rPr>
              <w:t xml:space="preserve">STABLE</w:t>
            </w:r>
          </w:p>
        </w:tc>
        <w:tc>
          <w:tcPr>
            <w:tcW w:type="dxa" w:w="4536"/>
            <w:tcMar>
              <w:top w:type="dxa" w:w="80"/>
              <w:left w:type="dxa" w:w="100"/>
              <w:bottom w:type="dxa" w:w="80"/>
              <w:right w:type="dxa" w:w="100"/>
            </w:tcMar>
          </w:tcPr>
          <w:p>
            <w:r>
              <w:rPr>
                <w:sz w:val="20"/>
                <w:szCs w:val="20"/>
              </w:rPr>
              <w:t xml:space="preserve">Unchanged since v9.</w:t>
            </w:r>
          </w:p>
        </w:tc>
      </w:tr>
      <w:tr>
        <w:tc>
          <w:tcPr>
            <w:tcW w:type="dxa" w:w="1411"/>
            <w:tcMar>
              <w:top w:type="dxa" w:w="80"/>
              <w:left w:type="dxa" w:w="100"/>
              <w:bottom w:type="dxa" w:w="80"/>
              <w:right w:type="dxa" w:w="100"/>
            </w:tcMar>
          </w:tcPr>
          <w:p>
            <w:r>
              <w:rPr>
                <w:sz w:val="20"/>
                <w:szCs w:val="20"/>
              </w:rPr>
              <w:t xml:space="preserve">ma-search.js</w:t>
            </w:r>
          </w:p>
        </w:tc>
        <w:tc>
          <w:tcPr>
            <w:tcW w:type="dxa" w:w="2621"/>
            <w:tcMar>
              <w:top w:type="dxa" w:w="80"/>
              <w:left w:type="dxa" w:w="100"/>
              <w:bottom w:type="dxa" w:w="80"/>
              <w:right w:type="dxa" w:w="100"/>
            </w:tcMar>
          </w:tcPr>
          <w:p>
            <w:r>
              <w:rPr>
                <w:sz w:val="20"/>
                <w:szCs w:val="20"/>
              </w:rPr>
              <w:t xml:space="preserve">Cross-module search layer</w:t>
            </w:r>
          </w:p>
        </w:tc>
        <w:tc>
          <w:tcPr>
            <w:tcW w:type="dxa" w:w="1512"/>
            <w:tcMar>
              <w:top w:type="dxa" w:w="80"/>
              <w:left w:type="dxa" w:w="100"/>
              <w:bottom w:type="dxa" w:w="80"/>
              <w:right w:type="dxa" w:w="100"/>
            </w:tcMar>
          </w:tcPr>
          <w:p>
            <w:r>
              <w:rPr>
                <w:sz w:val="20"/>
                <w:szCs w:val="20"/>
              </w:rPr>
              <w:t xml:space="preserve">STABLE</w:t>
            </w:r>
          </w:p>
        </w:tc>
        <w:tc>
          <w:tcPr>
            <w:tcW w:type="dxa" w:w="4536"/>
            <w:tcMar>
              <w:top w:type="dxa" w:w="80"/>
              <w:left w:type="dxa" w:w="100"/>
              <w:bottom w:type="dxa" w:w="80"/>
              <w:right w:type="dxa" w:w="100"/>
            </w:tcMar>
          </w:tcPr>
          <w:p>
            <w:r>
              <w:rPr>
                <w:sz w:val="20"/>
                <w:szCs w:val="20"/>
              </w:rPr>
              <w:t xml:space="preserve">Unchanged since v9.</w:t>
            </w:r>
          </w:p>
        </w:tc>
      </w:tr>
    </w:tbl>
    <w:p>
      <w:pPr>
        <w:spacing w:after="160" w:before="0"/>
      </w:pPr>
      <w:r>
        <w:rPr>
          <w:i/>
          <w:iCs/>
        </w:rPr>
        <w:t xml:space="preserve">Canonical location: unchanged since v9 — as of July 23, 2026 all 11 frontend files still live at /Users/navinkumar/Desktop/MeridianAtlas/June Refresh/ (the parent folder), not inside ETF Refresh/. See Section 15.4 and Section 15.6 for the full current directory layout.</w:t>
      </w:r>
    </w:p>
    <w:p>
      <w:pPr>
        <w:pStyle w:val="Heading2"/>
        <w:spacing w:after="120" w:before="240"/>
      </w:pPr>
      <w:r>
        <w:rPr>
          <w:b/>
          <w:bCs/>
          <w:sz w:val="24"/>
          <w:szCs w:val="24"/>
        </w:rPr>
        <w:t xml:space="preserve">2.2 Cloudflare Workers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12"/>
        <w:gridCol w:w="2621"/>
        <w:gridCol w:w="2016"/>
        <w:gridCol w:w="3931"/>
      </w:tblGrid>
      <w:tr>
        <w:trPr>
          <w:tblHeader/>
        </w:trPr>
        <w:tc>
          <w:tcPr>
            <w:tcW w:type="dxa" w:w="1512"/>
            <w:shd w:fill="D9E2F3" w:val="clear"/>
            <w:tcMar>
              <w:top w:type="dxa" w:w="80"/>
              <w:left w:type="dxa" w:w="100"/>
              <w:bottom w:type="dxa" w:w="80"/>
              <w:right w:type="dxa" w:w="100"/>
            </w:tcMar>
          </w:tcPr>
          <w:p>
            <w:r>
              <w:rPr>
                <w:b/>
                <w:bCs/>
                <w:sz w:val="20"/>
                <w:szCs w:val="20"/>
              </w:rPr>
              <w:t xml:space="preserve">Worker</w:t>
            </w:r>
          </w:p>
        </w:tc>
        <w:tc>
          <w:tcPr>
            <w:tcW w:type="dxa" w:w="2621"/>
            <w:shd w:fill="D9E2F3" w:val="clear"/>
            <w:tcMar>
              <w:top w:type="dxa" w:w="80"/>
              <w:left w:type="dxa" w:w="100"/>
              <w:bottom w:type="dxa" w:w="80"/>
              <w:right w:type="dxa" w:w="100"/>
            </w:tcMar>
          </w:tcPr>
          <w:p>
            <w:r>
              <w:rPr>
                <w:b/>
                <w:bCs/>
                <w:sz w:val="20"/>
                <w:szCs w:val="20"/>
              </w:rPr>
              <w:t xml:space="preserve">File</w:t>
            </w:r>
          </w:p>
        </w:tc>
        <w:tc>
          <w:tcPr>
            <w:tcW w:type="dxa" w:w="2016"/>
            <w:shd w:fill="D9E2F3" w:val="clear"/>
            <w:tcMar>
              <w:top w:type="dxa" w:w="80"/>
              <w:left w:type="dxa" w:w="100"/>
              <w:bottom w:type="dxa" w:w="80"/>
              <w:right w:type="dxa" w:w="100"/>
            </w:tcMar>
          </w:tcPr>
          <w:p>
            <w:r>
              <w:rPr>
                <w:b/>
                <w:bCs/>
                <w:sz w:val="20"/>
                <w:szCs w:val="20"/>
              </w:rPr>
              <w:t xml:space="preserve">Cron</w:t>
            </w:r>
          </w:p>
        </w:tc>
        <w:tc>
          <w:tcPr>
            <w:tcW w:type="dxa" w:w="3931"/>
            <w:shd w:fill="D9E2F3" w:val="clear"/>
            <w:tcMar>
              <w:top w:type="dxa" w:w="80"/>
              <w:left w:type="dxa" w:w="100"/>
              <w:bottom w:type="dxa" w:w="80"/>
              <w:right w:type="dxa" w:w="100"/>
            </w:tcMar>
          </w:tcPr>
          <w:p>
            <w:r>
              <w:rPr>
                <w:b/>
                <w:bCs/>
                <w:sz w:val="20"/>
                <w:szCs w:val="20"/>
              </w:rPr>
              <w:t xml:space="preserve">Purpose</w:t>
            </w:r>
          </w:p>
        </w:tc>
      </w:tr>
      <w:tr>
        <w:tc>
          <w:tcPr>
            <w:tcW w:type="dxa" w:w="1512"/>
            <w:tcMar>
              <w:top w:type="dxa" w:w="80"/>
              <w:left w:type="dxa" w:w="100"/>
              <w:bottom w:type="dxa" w:w="80"/>
              <w:right w:type="dxa" w:w="100"/>
            </w:tcMar>
          </w:tcPr>
          <w:p>
            <w:r>
              <w:rPr>
                <w:sz w:val="20"/>
                <w:szCs w:val="20"/>
              </w:rPr>
              <w:t xml:space="preserve">meridian-proxy</w:t>
            </w:r>
          </w:p>
        </w:tc>
        <w:tc>
          <w:tcPr>
            <w:tcW w:type="dxa" w:w="2621"/>
            <w:tcMar>
              <w:top w:type="dxa" w:w="80"/>
              <w:left w:type="dxa" w:w="100"/>
              <w:bottom w:type="dxa" w:w="80"/>
              <w:right w:type="dxa" w:w="100"/>
            </w:tcMar>
          </w:tcPr>
          <w:p>
            <w:r>
              <w:rPr>
                <w:sz w:val="20"/>
                <w:szCs w:val="20"/>
              </w:rPr>
              <w:t xml:space="preserve">ETF Refresh/src/index.js</w:t>
            </w:r>
          </w:p>
        </w:tc>
        <w:tc>
          <w:tcPr>
            <w:tcW w:type="dxa" w:w="2016"/>
            <w:tcMar>
              <w:top w:type="dxa" w:w="80"/>
              <w:left w:type="dxa" w:w="100"/>
              <w:bottom w:type="dxa" w:w="80"/>
              <w:right w:type="dxa" w:w="100"/>
            </w:tcMar>
          </w:tcPr>
          <w:p>
            <w:r>
              <w:rPr>
                <w:sz w:val="20"/>
                <w:szCs w:val="20"/>
              </w:rPr>
              <w:t xml:space="preserve">On request</w:t>
            </w:r>
          </w:p>
        </w:tc>
        <w:tc>
          <w:tcPr>
            <w:tcW w:type="dxa" w:w="3931"/>
            <w:tcMar>
              <w:top w:type="dxa" w:w="80"/>
              <w:left w:type="dxa" w:w="100"/>
              <w:bottom w:type="dxa" w:w="80"/>
              <w:right w:type="dxa" w:w="100"/>
            </w:tcMar>
          </w:tcPr>
          <w:p>
            <w:r>
              <w:rPr>
                <w:sz w:val="20"/>
                <w:szCs w:val="20"/>
              </w:rPr>
              <w:t xml:space="preserve">Main API gateway. 13 active routes as of July 2026. 2 stale routes (/api/13f-search, /api/13f-filings) still present, superseded by meridian-13f — removal queued, see Section 18.3. /api/ops-health endpoint added in v9. Deployed 25 days ago as of July 23, 2026.</w:t>
            </w:r>
          </w:p>
        </w:tc>
      </w:tr>
      <w:tr>
        <w:tc>
          <w:tcPr>
            <w:tcW w:type="dxa" w:w="1512"/>
            <w:tcMar>
              <w:top w:type="dxa" w:w="80"/>
              <w:left w:type="dxa" w:w="100"/>
              <w:bottom w:type="dxa" w:w="80"/>
              <w:right w:type="dxa" w:w="100"/>
            </w:tcMar>
          </w:tcPr>
          <w:p>
            <w:r>
              <w:rPr>
                <w:sz w:val="20"/>
                <w:szCs w:val="20"/>
              </w:rPr>
              <w:t xml:space="preserve">meridian-bootstrap</w:t>
            </w:r>
          </w:p>
        </w:tc>
        <w:tc>
          <w:tcPr>
            <w:tcW w:type="dxa" w:w="2621"/>
            <w:tcMar>
              <w:top w:type="dxa" w:w="80"/>
              <w:left w:type="dxa" w:w="100"/>
              <w:bottom w:type="dxa" w:w="80"/>
              <w:right w:type="dxa" w:w="100"/>
            </w:tcMar>
          </w:tcPr>
          <w:p>
            <w:r>
              <w:rPr>
                <w:sz w:val="20"/>
                <w:szCs w:val="20"/>
              </w:rPr>
              <w:t xml:space="preserve">ETF Refresh/src/bootstrap.js</w:t>
            </w:r>
          </w:p>
        </w:tc>
        <w:tc>
          <w:tcPr>
            <w:tcW w:type="dxa" w:w="2016"/>
            <w:tcMar>
              <w:top w:type="dxa" w:w="80"/>
              <w:left w:type="dxa" w:w="100"/>
              <w:bottom w:type="dxa" w:w="80"/>
              <w:right w:type="dxa" w:w="100"/>
            </w:tcMar>
          </w:tcPr>
          <w:p>
            <w:r>
              <w:rPr>
                <w:sz w:val="20"/>
                <w:szCs w:val="20"/>
              </w:rPr>
              <w:t xml:space="preserve">Every 4 hours (0 */4 * * *)</w:t>
            </w:r>
          </w:p>
        </w:tc>
        <w:tc>
          <w:tcPr>
            <w:tcW w:type="dxa" w:w="3931"/>
            <w:tcMar>
              <w:top w:type="dxa" w:w="80"/>
              <w:left w:type="dxa" w:w="100"/>
              <w:bottom w:type="dxa" w:w="80"/>
              <w:right w:type="dxa" w:w="100"/>
            </w:tcMar>
          </w:tcPr>
          <w:p>
            <w:r>
              <w:rPr>
                <w:sz w:val="20"/>
                <w:szCs w:val="20"/>
              </w:rPr>
              <w:t xml:space="preserve">Discovers ETFs from SEC EDGAR. BATCH_SIZE=15 as of July 2026. State-tracked incremental processor.</w:t>
            </w:r>
          </w:p>
        </w:tc>
      </w:tr>
      <w:tr>
        <w:tc>
          <w:tcPr>
            <w:tcW w:type="dxa" w:w="1512"/>
            <w:tcMar>
              <w:top w:type="dxa" w:w="80"/>
              <w:left w:type="dxa" w:w="100"/>
              <w:bottom w:type="dxa" w:w="80"/>
              <w:right w:type="dxa" w:w="100"/>
            </w:tcMar>
          </w:tcPr>
          <w:p>
            <w:r>
              <w:rPr>
                <w:sz w:val="20"/>
                <w:szCs w:val="20"/>
              </w:rPr>
              <w:t xml:space="preserve">meridian-holdings</w:t>
            </w:r>
          </w:p>
        </w:tc>
        <w:tc>
          <w:tcPr>
            <w:tcW w:type="dxa" w:w="2621"/>
            <w:tcMar>
              <w:top w:type="dxa" w:w="80"/>
              <w:left w:type="dxa" w:w="100"/>
              <w:bottom w:type="dxa" w:w="80"/>
              <w:right w:type="dxa" w:w="100"/>
            </w:tcMar>
          </w:tcPr>
          <w:p>
            <w:r>
              <w:rPr>
                <w:sz w:val="20"/>
                <w:szCs w:val="20"/>
              </w:rPr>
              <w:t xml:space="preserve">ETF Refresh/src/holdings-pipeline.js</w:t>
            </w:r>
          </w:p>
        </w:tc>
        <w:tc>
          <w:tcPr>
            <w:tcW w:type="dxa" w:w="2016"/>
            <w:tcMar>
              <w:top w:type="dxa" w:w="80"/>
              <w:left w:type="dxa" w:w="100"/>
              <w:bottom w:type="dxa" w:w="80"/>
              <w:right w:type="dxa" w:w="100"/>
            </w:tcMar>
          </w:tcPr>
          <w:p>
            <w:r>
              <w:rPr>
                <w:sz w:val="20"/>
                <w:szCs w:val="20"/>
              </w:rPr>
              <w:t xml:space="preserve">Every 2 hours (0 */2 * * *)</w:t>
            </w:r>
          </w:p>
        </w:tc>
        <w:tc>
          <w:tcPr>
            <w:tcW w:type="dxa" w:w="3931"/>
            <w:tcMar>
              <w:top w:type="dxa" w:w="80"/>
              <w:left w:type="dxa" w:w="100"/>
              <w:bottom w:type="dxa" w:w="80"/>
              <w:right w:type="dxa" w:w="100"/>
            </w:tcMar>
          </w:tcPr>
          <w:p>
            <w:r>
              <w:rPr>
                <w:sz w:val="20"/>
                <w:szCs w:val="20"/>
              </w:rPr>
              <w:t xml:space="preserve">Fetches N-PORT XML, stores holdings. Write guard DAILY_WRITE_LIMIT=80,000 via holdings_pipeline_state. NEW issue found Sprint 3: an ALTER TABLE fund_holdings_monthly ADD COLUMN snapshot_status statement is firing repeatedly — flagged for post-release investigation, see Section 19.</w:t>
            </w:r>
          </w:p>
        </w:tc>
      </w:tr>
      <w:tr>
        <w:tc>
          <w:tcPr>
            <w:tcW w:type="dxa" w:w="1512"/>
            <w:tcMar>
              <w:top w:type="dxa" w:w="80"/>
              <w:left w:type="dxa" w:w="100"/>
              <w:bottom w:type="dxa" w:w="80"/>
              <w:right w:type="dxa" w:w="100"/>
            </w:tcMar>
          </w:tcPr>
          <w:p>
            <w:r>
              <w:rPr>
                <w:sz w:val="20"/>
                <w:szCs w:val="20"/>
              </w:rPr>
              <w:t xml:space="preserve">meridian-13f</w:t>
            </w:r>
          </w:p>
        </w:tc>
        <w:tc>
          <w:tcPr>
            <w:tcW w:type="dxa" w:w="2621"/>
            <w:tcMar>
              <w:top w:type="dxa" w:w="80"/>
              <w:left w:type="dxa" w:w="100"/>
              <w:bottom w:type="dxa" w:w="80"/>
              <w:right w:type="dxa" w:w="100"/>
            </w:tcMar>
          </w:tcPr>
          <w:p>
            <w:r>
              <w:rPr>
                <w:sz w:val="20"/>
                <w:szCs w:val="20"/>
              </w:rPr>
              <w:t xml:space="preserve">Corporate Atlas/src/entities-13f.js (13F Worker)</w:t>
            </w:r>
          </w:p>
        </w:tc>
        <w:tc>
          <w:tcPr>
            <w:tcW w:type="dxa" w:w="2016"/>
            <w:tcMar>
              <w:top w:type="dxa" w:w="80"/>
              <w:left w:type="dxa" w:w="100"/>
              <w:bottom w:type="dxa" w:w="80"/>
              <w:right w:type="dxa" w:w="100"/>
            </w:tcMar>
          </w:tcPr>
          <w:p>
            <w:r>
              <w:rPr>
                <w:sz w:val="20"/>
                <w:szCs w:val="20"/>
              </w:rPr>
              <w:t xml:space="preserve">On request — no cron</w:t>
            </w:r>
          </w:p>
        </w:tc>
        <w:tc>
          <w:tcPr>
            <w:tcW w:type="dxa" w:w="3931"/>
            <w:tcMar>
              <w:top w:type="dxa" w:w="80"/>
              <w:left w:type="dxa" w:w="100"/>
              <w:bottom w:type="dxa" w:w="80"/>
              <w:right w:type="dxa" w:w="100"/>
            </w:tcMar>
          </w:tcPr>
          <w:p>
            <w:r>
              <w:rPr>
                <w:sz w:val="20"/>
                <w:szCs w:val="20"/>
              </w:rPr>
              <w:t xml:space="preserve">NEW in Sprint 2. 4 routes: /api/13f-search, /api/13f-filings, /api/13f-manager, /api/13f-manager-holdings. Three-point safety check (gate S2.7) passed July 5, 2026. See Section 16.4.</w:t>
            </w:r>
          </w:p>
        </w:tc>
      </w:tr>
      <w:tr>
        <w:tc>
          <w:tcPr>
            <w:tcW w:type="dxa" w:w="1512"/>
            <w:tcMar>
              <w:top w:type="dxa" w:w="80"/>
              <w:left w:type="dxa" w:w="100"/>
              <w:bottom w:type="dxa" w:w="80"/>
              <w:right w:type="dxa" w:w="100"/>
            </w:tcMar>
          </w:tcPr>
          <w:p>
            <w:r>
              <w:rPr>
                <w:sz w:val="20"/>
                <w:szCs w:val="20"/>
              </w:rPr>
              <w:t xml:space="preserve">meridian-filings</w:t>
            </w:r>
          </w:p>
        </w:tc>
        <w:tc>
          <w:tcPr>
            <w:tcW w:type="dxa" w:w="2621"/>
            <w:tcMar>
              <w:top w:type="dxa" w:w="80"/>
              <w:left w:type="dxa" w:w="100"/>
              <w:bottom w:type="dxa" w:w="80"/>
              <w:right w:type="dxa" w:w="100"/>
            </w:tcMar>
          </w:tcPr>
          <w:p>
            <w:r>
              <w:rPr>
                <w:sz w:val="20"/>
                <w:szCs w:val="20"/>
              </w:rPr>
              <w:t xml:space="preserve">Corporate Atlas/src/entities-filings.js (Filings Worker)</w:t>
            </w:r>
          </w:p>
        </w:tc>
        <w:tc>
          <w:tcPr>
            <w:tcW w:type="dxa" w:w="2016"/>
            <w:tcMar>
              <w:top w:type="dxa" w:w="80"/>
              <w:left w:type="dxa" w:w="100"/>
              <w:bottom w:type="dxa" w:w="80"/>
              <w:right w:type="dxa" w:w="100"/>
            </w:tcMar>
          </w:tcPr>
          <w:p>
            <w:r>
              <w:rPr>
                <w:sz w:val="20"/>
                <w:szCs w:val="20"/>
              </w:rPr>
              <w:t xml:space="preserve">On request — no cron</w:t>
            </w:r>
          </w:p>
        </w:tc>
        <w:tc>
          <w:tcPr>
            <w:tcW w:type="dxa" w:w="3931"/>
            <w:tcMar>
              <w:top w:type="dxa" w:w="80"/>
              <w:left w:type="dxa" w:w="100"/>
              <w:bottom w:type="dxa" w:w="80"/>
              <w:right w:type="dxa" w:w="100"/>
            </w:tcMar>
          </w:tcPr>
          <w:p>
            <w:r>
              <w:rPr>
                <w:sz w:val="20"/>
                <w:szCs w:val="20"/>
              </w:rPr>
              <w:t xml:space="preserve">NEW in Sprint 2. SEC document proxy Worker with an SEC_ALLOWED_HOSTS allowlist for security. Three-point safety check (gate S2.16) passed July 13, 2026. See Section 17.4.</w:t>
            </w:r>
          </w:p>
        </w:tc>
      </w:tr>
      <w:tr>
        <w:tc>
          <w:tcPr>
            <w:tcW w:type="dxa" w:w="1512"/>
            <w:tcMar>
              <w:top w:type="dxa" w:w="80"/>
              <w:left w:type="dxa" w:w="100"/>
              <w:bottom w:type="dxa" w:w="80"/>
              <w:right w:type="dxa" w:w="100"/>
            </w:tcMar>
          </w:tcPr>
          <w:p>
            <w:r>
              <w:rPr>
                <w:sz w:val="20"/>
                <w:szCs w:val="20"/>
              </w:rPr>
              <w:t xml:space="preserve">meridian-entities-api</w:t>
            </w:r>
          </w:p>
        </w:tc>
        <w:tc>
          <w:tcPr>
            <w:tcW w:type="dxa" w:w="2621"/>
            <w:tcMar>
              <w:top w:type="dxa" w:w="80"/>
              <w:left w:type="dxa" w:w="100"/>
              <w:bottom w:type="dxa" w:w="80"/>
              <w:right w:type="dxa" w:w="100"/>
            </w:tcMar>
          </w:tcPr>
          <w:p>
            <w:r>
              <w:rPr>
                <w:sz w:val="20"/>
                <w:szCs w:val="20"/>
              </w:rPr>
              <w:t xml:space="preserve">Corporate Atlas/src/entities-api.js</w:t>
            </w:r>
          </w:p>
        </w:tc>
        <w:tc>
          <w:tcPr>
            <w:tcW w:type="dxa" w:w="2016"/>
            <w:tcMar>
              <w:top w:type="dxa" w:w="80"/>
              <w:left w:type="dxa" w:w="100"/>
              <w:bottom w:type="dxa" w:w="80"/>
              <w:right w:type="dxa" w:w="100"/>
            </w:tcMar>
          </w:tcPr>
          <w:p>
            <w:r>
              <w:rPr>
                <w:sz w:val="20"/>
                <w:szCs w:val="20"/>
              </w:rPr>
              <w:t xml:space="preserve">On request</w:t>
            </w:r>
          </w:p>
        </w:tc>
        <w:tc>
          <w:tcPr>
            <w:tcW w:type="dxa" w:w="3931"/>
            <w:tcMar>
              <w:top w:type="dxa" w:w="80"/>
              <w:left w:type="dxa" w:w="100"/>
              <w:bottom w:type="dxa" w:w="80"/>
              <w:right w:type="dxa" w:w="100"/>
            </w:tcMar>
          </w:tcPr>
          <w:p>
            <w:r>
              <w:rPr>
                <w:sz w:val="20"/>
                <w:szCs w:val="20"/>
              </w:rPr>
              <w:t xml:space="preserve">Entity search, detail, ETF exposure, ISIN lookup. NEW in Sprint 3: /api/entities/:id/issuer-panels route added, redeployed as version d0c7e2e0. See Section 17.5.</w:t>
            </w:r>
          </w:p>
        </w:tc>
      </w:tr>
      <w:tr>
        <w:tc>
          <w:tcPr>
            <w:tcW w:type="dxa" w:w="1512"/>
            <w:tcMar>
              <w:top w:type="dxa" w:w="80"/>
              <w:left w:type="dxa" w:w="100"/>
              <w:bottom w:type="dxa" w:w="80"/>
              <w:right w:type="dxa" w:w="100"/>
            </w:tcMar>
          </w:tcPr>
          <w:p>
            <w:r>
              <w:rPr>
                <w:sz w:val="20"/>
                <w:szCs w:val="20"/>
              </w:rPr>
              <w:t xml:space="preserve">meridian-entities-enrich</w:t>
            </w:r>
          </w:p>
        </w:tc>
        <w:tc>
          <w:tcPr>
            <w:tcW w:type="dxa" w:w="2621"/>
            <w:tcMar>
              <w:top w:type="dxa" w:w="80"/>
              <w:left w:type="dxa" w:w="100"/>
              <w:bottom w:type="dxa" w:w="80"/>
              <w:right w:type="dxa" w:w="100"/>
            </w:tcMar>
          </w:tcPr>
          <w:p>
            <w:r>
              <w:rPr>
                <w:sz w:val="20"/>
                <w:szCs w:val="20"/>
              </w:rPr>
              <w:t xml:space="preserve">Corporate Atlas/src/entities-enrich.js</w:t>
            </w:r>
          </w:p>
        </w:tc>
        <w:tc>
          <w:tcPr>
            <w:tcW w:type="dxa" w:w="2016"/>
            <w:tcMar>
              <w:top w:type="dxa" w:w="80"/>
              <w:left w:type="dxa" w:w="100"/>
              <w:bottom w:type="dxa" w:w="80"/>
              <w:right w:type="dxa" w:w="100"/>
            </w:tcMar>
          </w:tcPr>
          <w:p>
            <w:r>
              <w:rPr>
                <w:sz w:val="20"/>
                <w:szCs w:val="20"/>
              </w:rPr>
              <w:t xml:space="preserve">FROZEN (crons=[]) — originally */30 * * * * and 50 * * * *</w:t>
            </w:r>
          </w:p>
        </w:tc>
        <w:tc>
          <w:tcPr>
            <w:tcW w:type="dxa" w:w="3931"/>
            <w:tcMar>
              <w:top w:type="dxa" w:w="80"/>
              <w:left w:type="dxa" w:w="100"/>
              <w:bottom w:type="dxa" w:w="80"/>
              <w:right w:type="dxa" w:w="100"/>
            </w:tcMar>
          </w:tcPr>
          <w:p>
            <w:r>
              <w:rPr>
                <w:sz w:val="20"/>
                <w:szCs w:val="20"/>
              </w:rPr>
              <w:t xml:space="preserve">3-phase GLEIF enrichment. Frozen for the duration of the July Sprint; planned re-enable at 0 */4 * * * once Sprint 3 stabilizes. See Section 18.3.</w:t>
            </w:r>
          </w:p>
        </w:tc>
      </w:tr>
      <w:tr>
        <w:tc>
          <w:tcPr>
            <w:tcW w:type="dxa" w:w="1512"/>
            <w:tcMar>
              <w:top w:type="dxa" w:w="80"/>
              <w:left w:type="dxa" w:w="100"/>
              <w:bottom w:type="dxa" w:w="80"/>
              <w:right w:type="dxa" w:w="100"/>
            </w:tcMar>
          </w:tcPr>
          <w:p>
            <w:r>
              <w:rPr>
                <w:sz w:val="20"/>
                <w:szCs w:val="20"/>
              </w:rPr>
              <w:t xml:space="preserve">meridian-entities-seed</w:t>
            </w:r>
          </w:p>
        </w:tc>
        <w:tc>
          <w:tcPr>
            <w:tcW w:type="dxa" w:w="2621"/>
            <w:tcMar>
              <w:top w:type="dxa" w:w="80"/>
              <w:left w:type="dxa" w:w="100"/>
              <w:bottom w:type="dxa" w:w="80"/>
              <w:right w:type="dxa" w:w="100"/>
            </w:tcMar>
          </w:tcPr>
          <w:p>
            <w:r>
              <w:rPr>
                <w:sz w:val="20"/>
                <w:szCs w:val="20"/>
              </w:rPr>
              <w:t xml:space="preserve">Corporate Atlas/src/entities-seed.js</w:t>
            </w:r>
          </w:p>
        </w:tc>
        <w:tc>
          <w:tcPr>
            <w:tcW w:type="dxa" w:w="2016"/>
            <w:tcMar>
              <w:top w:type="dxa" w:w="80"/>
              <w:left w:type="dxa" w:w="100"/>
              <w:bottom w:type="dxa" w:w="80"/>
              <w:right w:type="dxa" w:w="100"/>
            </w:tcMar>
          </w:tcPr>
          <w:p>
            <w:r>
              <w:rPr>
                <w:sz w:val="20"/>
                <w:szCs w:val="20"/>
              </w:rPr>
              <w:t xml:space="preserve">FROZEN (crons=[]) — originally 0 3 * * *</w:t>
            </w:r>
          </w:p>
        </w:tc>
        <w:tc>
          <w:tcPr>
            <w:tcW w:type="dxa" w:w="3931"/>
            <w:tcMar>
              <w:top w:type="dxa" w:w="80"/>
              <w:left w:type="dxa" w:w="100"/>
              <w:bottom w:type="dxa" w:w="80"/>
              <w:right w:type="dxa" w:w="100"/>
            </w:tcMar>
          </w:tcPr>
          <w:p>
            <w:r>
              <w:rPr>
                <w:sz w:val="20"/>
                <w:szCs w:val="20"/>
              </w:rPr>
              <w:t xml:space="preserve">Seeds entity_master and entity_isin_map. Frozen for the July Sprint; planned re-enable at 0 3 1 * * (monthly) once Sprint 3 stabilizes. See Section 18.3.</w:t>
            </w:r>
          </w:p>
        </w:tc>
      </w:tr>
      <w:tr>
        <w:tc>
          <w:tcPr>
            <w:tcW w:type="dxa" w:w="1512"/>
            <w:tcMar>
              <w:top w:type="dxa" w:w="80"/>
              <w:left w:type="dxa" w:w="100"/>
              <w:bottom w:type="dxa" w:w="80"/>
              <w:right w:type="dxa" w:w="100"/>
            </w:tcMar>
          </w:tcPr>
          <w:p>
            <w:r>
              <w:rPr>
                <w:sz w:val="20"/>
                <w:szCs w:val="20"/>
              </w:rPr>
              <w:t xml:space="preserve">meridian-entities-delta</w:t>
            </w:r>
          </w:p>
        </w:tc>
        <w:tc>
          <w:tcPr>
            <w:tcW w:type="dxa" w:w="2621"/>
            <w:tcMar>
              <w:top w:type="dxa" w:w="80"/>
              <w:left w:type="dxa" w:w="100"/>
              <w:bottom w:type="dxa" w:w="80"/>
              <w:right w:type="dxa" w:w="100"/>
            </w:tcMar>
          </w:tcPr>
          <w:p>
            <w:r>
              <w:rPr>
                <w:sz w:val="20"/>
                <w:szCs w:val="20"/>
              </w:rPr>
              <w:t xml:space="preserve">Corporate Atlas/src/entities-delta.js</w:t>
            </w:r>
          </w:p>
        </w:tc>
        <w:tc>
          <w:tcPr>
            <w:tcW w:type="dxa" w:w="2016"/>
            <w:tcMar>
              <w:top w:type="dxa" w:w="80"/>
              <w:left w:type="dxa" w:w="100"/>
              <w:bottom w:type="dxa" w:w="80"/>
              <w:right w:type="dxa" w:w="100"/>
            </w:tcMar>
          </w:tcPr>
          <w:p>
            <w:r>
              <w:rPr>
                <w:sz w:val="20"/>
                <w:szCs w:val="20"/>
              </w:rPr>
              <w:t xml:space="preserve">FROZEN (commented out) — originally 0 3 1 * *</w:t>
            </w:r>
          </w:p>
        </w:tc>
        <w:tc>
          <w:tcPr>
            <w:tcW w:type="dxa" w:w="3931"/>
            <w:tcMar>
              <w:top w:type="dxa" w:w="80"/>
              <w:left w:type="dxa" w:w="100"/>
              <w:bottom w:type="dxa" w:w="80"/>
              <w:right w:type="dxa" w:w="100"/>
            </w:tcMar>
          </w:tcPr>
          <w:p>
            <w:r>
              <w:rPr>
                <w:sz w:val="20"/>
                <w:szCs w:val="20"/>
              </w:rPr>
              <w:t xml:space="preserve">Monthly GLEIF delta + relationship self-correction. Deployed but still not activated — see Section 19.</w:t>
            </w:r>
          </w:p>
        </w:tc>
      </w:tr>
    </w:tbl>
    <w:p>
      <w:pPr>
        <w:pStyle w:val="Heading1"/>
        <w:spacing w:after="180" w:before="360"/>
      </w:pPr>
      <w:r>
        <w:rPr>
          <w:b/>
          <w:bCs/>
          <w:sz w:val="28"/>
          <w:szCs w:val="28"/>
        </w:rPr>
        <w:t xml:space="preserve">3. D1 Database Tables — Full Inventory</w:t>
      </w:r>
    </w:p>
    <w:p>
      <w:pPr>
        <w:spacing w:after="160" w:before="0"/>
      </w:pPr>
      <w:r>
        <w:rPr>
          <w:b/>
          <w:bCs/>
        </w:rPr>
        <w:t xml:space="preserve">27 tables total (confirmed live July 23, 2026), up from 18 in v9. Database ID 43e80149-5333-4917-b678-6a8218ca4f93. Storage: 345MB in use.</w:t>
      </w:r>
    </w:p>
    <w:p>
      <w:pPr>
        <w:pStyle w:val="Heading2"/>
        <w:spacing w:after="120" w:before="240"/>
      </w:pPr>
      <w:r>
        <w:rPr>
          <w:b/>
          <w:bCs/>
          <w:sz w:val="24"/>
          <w:szCs w:val="24"/>
        </w:rPr>
        <w:t xml:space="preserve">3.1 ETF Domain (Core)</w:t>
      </w:r>
    </w:p>
    <w:p>
      <w:pPr>
        <w:spacing w:after="160" w:before="0"/>
      </w:pPr>
      <w:r>
        <w:rPr>
          <w:i/>
          <w:iCs/>
        </w:rPr>
        <w:t xml:space="preserve">Row counts below are as of June 21, 2026 (last full count) and were not re-verified during the July Sprint.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5544"/>
        <w:gridCol w:w="2318"/>
      </w:tblGrid>
      <w:tr>
        <w:trPr>
          <w:tblHeader/>
        </w:trPr>
        <w:tc>
          <w:tcPr>
            <w:tcW w:type="dxa" w:w="2218"/>
            <w:shd w:fill="D9E2F3" w:val="clear"/>
            <w:tcMar>
              <w:top w:type="dxa" w:w="80"/>
              <w:left w:type="dxa" w:w="100"/>
              <w:bottom w:type="dxa" w:w="80"/>
              <w:right w:type="dxa" w:w="100"/>
            </w:tcMar>
          </w:tcPr>
          <w:p>
            <w:r>
              <w:rPr>
                <w:b/>
                <w:bCs/>
                <w:sz w:val="20"/>
                <w:szCs w:val="20"/>
              </w:rPr>
              <w:t xml:space="preserve">Table</w:t>
            </w:r>
          </w:p>
        </w:tc>
        <w:tc>
          <w:tcPr>
            <w:tcW w:type="dxa" w:w="5544"/>
            <w:shd w:fill="D9E2F3" w:val="clear"/>
            <w:tcMar>
              <w:top w:type="dxa" w:w="80"/>
              <w:left w:type="dxa" w:w="100"/>
              <w:bottom w:type="dxa" w:w="80"/>
              <w:right w:type="dxa" w:w="100"/>
            </w:tcMar>
          </w:tcPr>
          <w:p>
            <w:r>
              <w:rPr>
                <w:b/>
                <w:bCs/>
                <w:sz w:val="20"/>
                <w:szCs w:val="20"/>
              </w:rPr>
              <w:t xml:space="preserve">Purpose</w:t>
            </w:r>
          </w:p>
        </w:tc>
        <w:tc>
          <w:tcPr>
            <w:tcW w:type="dxa" w:w="2318"/>
            <w:shd w:fill="D9E2F3" w:val="clear"/>
            <w:tcMar>
              <w:top w:type="dxa" w:w="80"/>
              <w:left w:type="dxa" w:w="100"/>
              <w:bottom w:type="dxa" w:w="80"/>
              <w:right w:type="dxa" w:w="100"/>
            </w:tcMar>
          </w:tcPr>
          <w:p>
            <w:r>
              <w:rPr>
                <w:b/>
                <w:bCs/>
                <w:sz w:val="20"/>
                <w:szCs w:val="20"/>
              </w:rPr>
              <w:t xml:space="preserve">Rows (approx.)</w:t>
            </w:r>
          </w:p>
        </w:tc>
      </w:tr>
      <w:tr>
        <w:tc>
          <w:tcPr>
            <w:tcW w:type="dxa" w:w="2218"/>
            <w:tcMar>
              <w:top w:type="dxa" w:w="80"/>
              <w:left w:type="dxa" w:w="100"/>
              <w:bottom w:type="dxa" w:w="80"/>
              <w:right w:type="dxa" w:w="100"/>
            </w:tcMar>
          </w:tcPr>
          <w:p>
            <w:r>
              <w:rPr>
                <w:sz w:val="20"/>
                <w:szCs w:val="20"/>
              </w:rPr>
              <w:t xml:space="preserve">etf_master</w:t>
            </w:r>
          </w:p>
        </w:tc>
        <w:tc>
          <w:tcPr>
            <w:tcW w:type="dxa" w:w="5544"/>
            <w:tcMar>
              <w:top w:type="dxa" w:w="80"/>
              <w:left w:type="dxa" w:w="100"/>
              <w:bottom w:type="dxa" w:w="80"/>
              <w:right w:type="dxa" w:w="100"/>
            </w:tcMar>
          </w:tcPr>
          <w:p>
            <w:r>
              <w:rPr>
                <w:sz w:val="20"/>
                <w:szCs w:val="20"/>
              </w:rPr>
              <w:t xml:space="preserve">ETF directory — ticker, name, issuer, series_id, coverage_status, coverage_depth, net_assets</w:t>
            </w:r>
          </w:p>
        </w:tc>
        <w:tc>
          <w:tcPr>
            <w:tcW w:type="dxa" w:w="2318"/>
            <w:tcMar>
              <w:top w:type="dxa" w:w="80"/>
              <w:left w:type="dxa" w:w="100"/>
              <w:bottom w:type="dxa" w:w="80"/>
              <w:right w:type="dxa" w:w="100"/>
            </w:tcMar>
          </w:tcPr>
          <w:p>
            <w:r>
              <w:rPr>
                <w:sz w:val="20"/>
                <w:szCs w:val="20"/>
              </w:rPr>
              <w:t xml:space="preserve">264 total, 238 deep</w:t>
            </w:r>
          </w:p>
        </w:tc>
      </w:tr>
      <w:tr>
        <w:tc>
          <w:tcPr>
            <w:tcW w:type="dxa" w:w="2218"/>
            <w:tcMar>
              <w:top w:type="dxa" w:w="80"/>
              <w:left w:type="dxa" w:w="100"/>
              <w:bottom w:type="dxa" w:w="80"/>
              <w:right w:type="dxa" w:w="100"/>
            </w:tcMar>
          </w:tcPr>
          <w:p>
            <w:r>
              <w:rPr>
                <w:sz w:val="20"/>
                <w:szCs w:val="20"/>
              </w:rPr>
              <w:t xml:space="preserve">fund_holdings_monthly</w:t>
            </w:r>
          </w:p>
        </w:tc>
        <w:tc>
          <w:tcPr>
            <w:tcW w:type="dxa" w:w="5544"/>
            <w:tcMar>
              <w:top w:type="dxa" w:w="80"/>
              <w:left w:type="dxa" w:w="100"/>
              <w:bottom w:type="dxa" w:w="80"/>
              <w:right w:type="dxa" w:w="100"/>
            </w:tcMar>
          </w:tcPr>
          <w:p>
            <w:r>
              <w:rPr>
                <w:sz w:val="20"/>
                <w:szCs w:val="20"/>
              </w:rPr>
              <w:t xml:space="preserve">Monthly N-PORT holdings per ETF per security</w:t>
            </w:r>
          </w:p>
        </w:tc>
        <w:tc>
          <w:tcPr>
            <w:tcW w:type="dxa" w:w="2318"/>
            <w:tcMar>
              <w:top w:type="dxa" w:w="80"/>
              <w:left w:type="dxa" w:w="100"/>
              <w:bottom w:type="dxa" w:w="80"/>
              <w:right w:type="dxa" w:w="100"/>
            </w:tcMar>
          </w:tcPr>
          <w:p>
            <w:r>
              <w:rPr>
                <w:sz w:val="20"/>
                <w:szCs w:val="20"/>
              </w:rPr>
              <w:t xml:space="preserve">356,253</w:t>
            </w:r>
          </w:p>
        </w:tc>
      </w:tr>
      <w:tr>
        <w:tc>
          <w:tcPr>
            <w:tcW w:type="dxa" w:w="2218"/>
            <w:tcMar>
              <w:top w:type="dxa" w:w="80"/>
              <w:left w:type="dxa" w:w="100"/>
              <w:bottom w:type="dxa" w:w="80"/>
              <w:right w:type="dxa" w:w="100"/>
            </w:tcMar>
          </w:tcPr>
          <w:p>
            <w:r>
              <w:rPr>
                <w:sz w:val="20"/>
                <w:szCs w:val="20"/>
              </w:rPr>
              <w:t xml:space="preserve">fund_snapshot_monthly</w:t>
            </w:r>
          </w:p>
        </w:tc>
        <w:tc>
          <w:tcPr>
            <w:tcW w:type="dxa" w:w="5544"/>
            <w:tcMar>
              <w:top w:type="dxa" w:w="80"/>
              <w:left w:type="dxa" w:w="100"/>
              <w:bottom w:type="dxa" w:w="80"/>
              <w:right w:type="dxa" w:w="100"/>
            </w:tcMar>
          </w:tcPr>
          <w:p>
            <w:r>
              <w:rPr>
                <w:sz w:val="20"/>
                <w:szCs w:val="20"/>
              </w:rPr>
              <w:t xml:space="preserve">Monthly fund-level stats</w:t>
            </w:r>
          </w:p>
        </w:tc>
        <w:tc>
          <w:tcPr>
            <w:tcW w:type="dxa" w:w="2318"/>
            <w:tcMar>
              <w:top w:type="dxa" w:w="80"/>
              <w:left w:type="dxa" w:w="100"/>
              <w:bottom w:type="dxa" w:w="80"/>
              <w:right w:type="dxa" w:w="100"/>
            </w:tcMar>
          </w:tcPr>
          <w:p>
            <w:r>
              <w:rPr>
                <w:sz w:val="20"/>
                <w:szCs w:val="20"/>
              </w:rPr>
              <w:t xml:space="preserve">466</w:t>
            </w:r>
          </w:p>
        </w:tc>
      </w:tr>
      <w:tr>
        <w:tc>
          <w:tcPr>
            <w:tcW w:type="dxa" w:w="2218"/>
            <w:tcMar>
              <w:top w:type="dxa" w:w="80"/>
              <w:left w:type="dxa" w:w="100"/>
              <w:bottom w:type="dxa" w:w="80"/>
              <w:right w:type="dxa" w:w="100"/>
            </w:tcMar>
          </w:tcPr>
          <w:p>
            <w:r>
              <w:rPr>
                <w:sz w:val="20"/>
                <w:szCs w:val="20"/>
              </w:rPr>
              <w:t xml:space="preserve">universe_changes_monthly</w:t>
            </w:r>
          </w:p>
        </w:tc>
        <w:tc>
          <w:tcPr>
            <w:tcW w:type="dxa" w:w="5544"/>
            <w:tcMar>
              <w:top w:type="dxa" w:w="80"/>
              <w:left w:type="dxa" w:w="100"/>
              <w:bottom w:type="dxa" w:w="80"/>
              <w:right w:type="dxa" w:w="100"/>
            </w:tcMar>
          </w:tcPr>
          <w:p>
            <w:r>
              <w:rPr>
                <w:sz w:val="20"/>
                <w:szCs w:val="20"/>
              </w:rPr>
              <w:t xml:space="preserve">Pre-computed universe rotation signal</w:t>
            </w:r>
          </w:p>
        </w:tc>
        <w:tc>
          <w:tcPr>
            <w:tcW w:type="dxa" w:w="2318"/>
            <w:tcMar>
              <w:top w:type="dxa" w:w="80"/>
              <w:left w:type="dxa" w:w="100"/>
              <w:bottom w:type="dxa" w:w="80"/>
              <w:right w:type="dxa" w:w="100"/>
            </w:tcMar>
          </w:tcPr>
          <w:p>
            <w:r>
              <w:rPr>
                <w:sz w:val="20"/>
                <w:szCs w:val="20"/>
              </w:rPr>
              <w:t xml:space="preserve">0 (disabled since June 12 incident)</w:t>
            </w:r>
          </w:p>
        </w:tc>
      </w:tr>
      <w:tr>
        <w:tc>
          <w:tcPr>
            <w:tcW w:type="dxa" w:w="2218"/>
            <w:tcMar>
              <w:top w:type="dxa" w:w="80"/>
              <w:left w:type="dxa" w:w="100"/>
              <w:bottom w:type="dxa" w:w="80"/>
              <w:right w:type="dxa" w:w="100"/>
            </w:tcMar>
          </w:tcPr>
          <w:p>
            <w:r>
              <w:rPr>
                <w:sz w:val="20"/>
                <w:szCs w:val="20"/>
              </w:rPr>
              <w:t xml:space="preserve">etf_aliases</w:t>
            </w:r>
          </w:p>
        </w:tc>
        <w:tc>
          <w:tcPr>
            <w:tcW w:type="dxa" w:w="5544"/>
            <w:tcMar>
              <w:top w:type="dxa" w:w="80"/>
              <w:left w:type="dxa" w:w="100"/>
              <w:bottom w:type="dxa" w:w="80"/>
              <w:right w:type="dxa" w:w="100"/>
            </w:tcMar>
          </w:tcPr>
          <w:p>
            <w:r>
              <w:rPr>
                <w:sz w:val="20"/>
                <w:szCs w:val="20"/>
              </w:rPr>
              <w:t xml:space="preserve">Alias-to-canonical name map</w:t>
            </w:r>
          </w:p>
        </w:tc>
        <w:tc>
          <w:tcPr>
            <w:tcW w:type="dxa" w:w="2318"/>
            <w:tcMar>
              <w:top w:type="dxa" w:w="80"/>
              <w:left w:type="dxa" w:w="100"/>
              <w:bottom w:type="dxa" w:w="80"/>
              <w:right w:type="dxa" w:w="100"/>
            </w:tcMar>
          </w:tcPr>
          <w:p>
            <w:r>
              <w:rPr>
                <w:sz w:val="20"/>
                <w:szCs w:val="20"/>
              </w:rPr>
              <w:t xml:space="preserve">73</w:t>
            </w:r>
          </w:p>
        </w:tc>
      </w:tr>
      <w:tr>
        <w:tc>
          <w:tcPr>
            <w:tcW w:type="dxa" w:w="2218"/>
            <w:tcMar>
              <w:top w:type="dxa" w:w="80"/>
              <w:left w:type="dxa" w:w="100"/>
              <w:bottom w:type="dxa" w:w="80"/>
              <w:right w:type="dxa" w:w="100"/>
            </w:tcMar>
          </w:tcPr>
          <w:p>
            <w:r>
              <w:rPr>
                <w:sz w:val="20"/>
                <w:szCs w:val="20"/>
              </w:rPr>
              <w:t xml:space="preserve">edgar_bootstrap_progress</w:t>
            </w:r>
          </w:p>
        </w:tc>
        <w:tc>
          <w:tcPr>
            <w:tcW w:type="dxa" w:w="5544"/>
            <w:tcMar>
              <w:top w:type="dxa" w:w="80"/>
              <w:left w:type="dxa" w:w="100"/>
              <w:bottom w:type="dxa" w:w="80"/>
              <w:right w:type="dxa" w:w="100"/>
            </w:tcMar>
          </w:tcPr>
          <w:p>
            <w:r>
              <w:rPr>
                <w:sz w:val="20"/>
                <w:szCs w:val="20"/>
              </w:rPr>
              <w:t xml:space="preserve">Bootstrap job progress per series_id</w:t>
            </w:r>
          </w:p>
        </w:tc>
        <w:tc>
          <w:tcPr>
            <w:tcW w:type="dxa" w:w="2318"/>
            <w:tcMar>
              <w:top w:type="dxa" w:w="80"/>
              <w:left w:type="dxa" w:w="100"/>
              <w:bottom w:type="dxa" w:w="80"/>
              <w:right w:type="dxa" w:w="100"/>
            </w:tcMar>
          </w:tcPr>
          <w:p>
            <w:r>
              <w:rPr>
                <w:sz w:val="20"/>
                <w:szCs w:val="20"/>
              </w:rPr>
              <w:t xml:space="preserve">1,039</w:t>
            </w:r>
          </w:p>
        </w:tc>
      </w:tr>
      <w:tr>
        <w:tc>
          <w:tcPr>
            <w:tcW w:type="dxa" w:w="2218"/>
            <w:tcMar>
              <w:top w:type="dxa" w:w="80"/>
              <w:left w:type="dxa" w:w="100"/>
              <w:bottom w:type="dxa" w:w="80"/>
              <w:right w:type="dxa" w:w="100"/>
            </w:tcMar>
          </w:tcPr>
          <w:p>
            <w:r>
              <w:rPr>
                <w:sz w:val="20"/>
                <w:szCs w:val="20"/>
              </w:rPr>
              <w:t xml:space="preserve">edgar_bootstrap_state</w:t>
            </w:r>
          </w:p>
        </w:tc>
        <w:tc>
          <w:tcPr>
            <w:tcW w:type="dxa" w:w="5544"/>
            <w:tcMar>
              <w:top w:type="dxa" w:w="80"/>
              <w:left w:type="dxa" w:w="100"/>
              <w:bottom w:type="dxa" w:w="80"/>
              <w:right w:type="dxa" w:w="100"/>
            </w:tcMar>
          </w:tcPr>
          <w:p>
            <w:r>
              <w:rPr>
                <w:sz w:val="20"/>
                <w:szCs w:val="20"/>
              </w:rPr>
              <w:t xml:space="preserve">Key-value state for bootstrap Worker</w:t>
            </w:r>
          </w:p>
        </w:tc>
        <w:tc>
          <w:tcPr>
            <w:tcW w:type="dxa" w:w="2318"/>
            <w:tcMar>
              <w:top w:type="dxa" w:w="80"/>
              <w:left w:type="dxa" w:w="100"/>
              <w:bottom w:type="dxa" w:w="80"/>
              <w:right w:type="dxa" w:w="100"/>
            </w:tcMar>
          </w:tcPr>
          <w:p>
            <w:r>
              <w:rPr>
                <w:sz w:val="20"/>
                <w:szCs w:val="20"/>
              </w:rPr>
              <w:t xml:space="preserve">7</w:t>
            </w:r>
          </w:p>
        </w:tc>
      </w:tr>
      <w:tr>
        <w:tc>
          <w:tcPr>
            <w:tcW w:type="dxa" w:w="2218"/>
            <w:tcMar>
              <w:top w:type="dxa" w:w="80"/>
              <w:left w:type="dxa" w:w="100"/>
              <w:bottom w:type="dxa" w:w="80"/>
              <w:right w:type="dxa" w:w="100"/>
            </w:tcMar>
          </w:tcPr>
          <w:p>
            <w:r>
              <w:rPr>
                <w:sz w:val="20"/>
                <w:szCs w:val="20"/>
              </w:rPr>
              <w:t xml:space="preserve">holdings_pipeline_state</w:t>
            </w:r>
          </w:p>
        </w:tc>
        <w:tc>
          <w:tcPr>
            <w:tcW w:type="dxa" w:w="5544"/>
            <w:tcMar>
              <w:top w:type="dxa" w:w="80"/>
              <w:left w:type="dxa" w:w="100"/>
              <w:bottom w:type="dxa" w:w="80"/>
              <w:right w:type="dxa" w:w="100"/>
            </w:tcMar>
          </w:tcPr>
          <w:p>
            <w:r>
              <w:rPr>
                <w:sz w:val="20"/>
                <w:szCs w:val="20"/>
              </w:rPr>
              <w:t xml:space="preserve">Key-value state — write guard, resume offsets</w:t>
            </w:r>
          </w:p>
        </w:tc>
        <w:tc>
          <w:tcPr>
            <w:tcW w:type="dxa" w:w="2318"/>
            <w:tcMar>
              <w:top w:type="dxa" w:w="80"/>
              <w:left w:type="dxa" w:w="100"/>
              <w:bottom w:type="dxa" w:w="80"/>
              <w:right w:type="dxa" w:w="100"/>
            </w:tcMar>
          </w:tcPr>
          <w:p>
            <w:r>
              <w:rPr>
                <w:sz w:val="20"/>
                <w:szCs w:val="20"/>
              </w:rPr>
              <w:t xml:space="preserve">27</w:t>
            </w:r>
          </w:p>
        </w:tc>
      </w:tr>
    </w:tbl>
    <w:p>
      <w:pPr>
        <w:pStyle w:val="Heading2"/>
        <w:spacing w:after="120" w:before="240"/>
      </w:pPr>
      <w:r>
        <w:rPr>
          <w:b/>
          <w:bCs/>
          <w:sz w:val="24"/>
          <w:szCs w:val="24"/>
        </w:rPr>
        <w:t xml:space="preserve">3.2 Entities Domain (Core)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4234"/>
        <w:gridCol w:w="3830"/>
      </w:tblGrid>
      <w:tr>
        <w:trPr>
          <w:tblHeader/>
        </w:trPr>
        <w:tc>
          <w:tcPr>
            <w:tcW w:type="dxa" w:w="2016"/>
            <w:shd w:fill="D9E2F3" w:val="clear"/>
            <w:tcMar>
              <w:top w:type="dxa" w:w="80"/>
              <w:left w:type="dxa" w:w="100"/>
              <w:bottom w:type="dxa" w:w="80"/>
              <w:right w:type="dxa" w:w="100"/>
            </w:tcMar>
          </w:tcPr>
          <w:p>
            <w:r>
              <w:rPr>
                <w:b/>
                <w:bCs/>
                <w:sz w:val="20"/>
                <w:szCs w:val="20"/>
              </w:rPr>
              <w:t xml:space="preserve">Table</w:t>
            </w:r>
          </w:p>
        </w:tc>
        <w:tc>
          <w:tcPr>
            <w:tcW w:type="dxa" w:w="4234"/>
            <w:shd w:fill="D9E2F3" w:val="clear"/>
            <w:tcMar>
              <w:top w:type="dxa" w:w="80"/>
              <w:left w:type="dxa" w:w="100"/>
              <w:bottom w:type="dxa" w:w="80"/>
              <w:right w:type="dxa" w:w="100"/>
            </w:tcMar>
          </w:tcPr>
          <w:p>
            <w:r>
              <w:rPr>
                <w:b/>
                <w:bCs/>
                <w:sz w:val="20"/>
                <w:szCs w:val="20"/>
              </w:rPr>
              <w:t xml:space="preserve">Purpose</w:t>
            </w:r>
          </w:p>
        </w:tc>
        <w:tc>
          <w:tcPr>
            <w:tcW w:type="dxa" w:w="3830"/>
            <w:shd w:fill="D9E2F3" w:val="clear"/>
            <w:tcMar>
              <w:top w:type="dxa" w:w="80"/>
              <w:left w:type="dxa" w:w="100"/>
              <w:bottom w:type="dxa" w:w="80"/>
              <w:right w:type="dxa" w:w="100"/>
            </w:tcMar>
          </w:tcPr>
          <w:p>
            <w:r>
              <w:rPr>
                <w:b/>
                <w:bCs/>
                <w:sz w:val="20"/>
                <w:szCs w:val="20"/>
              </w:rPr>
              <w:t xml:space="preserve">Rows</w:t>
            </w:r>
          </w:p>
        </w:tc>
      </w:tr>
      <w:tr>
        <w:tc>
          <w:tcPr>
            <w:tcW w:type="dxa" w:w="2016"/>
            <w:tcMar>
              <w:top w:type="dxa" w:w="80"/>
              <w:left w:type="dxa" w:w="100"/>
              <w:bottom w:type="dxa" w:w="80"/>
              <w:right w:type="dxa" w:w="100"/>
            </w:tcMar>
          </w:tcPr>
          <w:p>
            <w:r>
              <w:rPr>
                <w:sz w:val="20"/>
                <w:szCs w:val="20"/>
              </w:rPr>
              <w:t xml:space="preserve">entity_master</w:t>
            </w:r>
          </w:p>
        </w:tc>
        <w:tc>
          <w:tcPr>
            <w:tcW w:type="dxa" w:w="4234"/>
            <w:tcMar>
              <w:top w:type="dxa" w:w="80"/>
              <w:left w:type="dxa" w:w="100"/>
              <w:bottom w:type="dxa" w:w="80"/>
              <w:right w:type="dxa" w:w="100"/>
            </w:tcMar>
          </w:tcPr>
          <w:p>
            <w:r>
              <w:rPr>
                <w:sz w:val="20"/>
                <w:szCs w:val="20"/>
              </w:rPr>
              <w:t xml:space="preserve">All legal entities. 42 columns + cik (nullable, added Sprint 2). UNIQUE(normalized_name, type)</w:t>
            </w:r>
          </w:p>
        </w:tc>
        <w:tc>
          <w:tcPr>
            <w:tcW w:type="dxa" w:w="3830"/>
            <w:tcMar>
              <w:top w:type="dxa" w:w="80"/>
              <w:left w:type="dxa" w:w="100"/>
              <w:bottom w:type="dxa" w:w="80"/>
              <w:right w:type="dxa" w:w="100"/>
            </w:tcMar>
          </w:tcPr>
          <w:p>
            <w:r>
              <w:rPr>
                <w:sz w:val="20"/>
                <w:szCs w:val="20"/>
              </w:rPr>
              <w:t xml:space="preserve">11,111 total — 10,705 operating, 290 fund, 68 government, 43 manager, 4 holding, 1 spv. cik populated for 3,182 entities via name-match against SEC company_tickers_exchange.json (see Section 14).</w:t>
            </w:r>
          </w:p>
        </w:tc>
      </w:tr>
      <w:tr>
        <w:tc>
          <w:tcPr>
            <w:tcW w:type="dxa" w:w="2016"/>
            <w:tcMar>
              <w:top w:type="dxa" w:w="80"/>
              <w:left w:type="dxa" w:w="100"/>
              <w:bottom w:type="dxa" w:w="80"/>
              <w:right w:type="dxa" w:w="100"/>
            </w:tcMar>
          </w:tcPr>
          <w:p>
            <w:r>
              <w:rPr>
                <w:sz w:val="20"/>
                <w:szCs w:val="20"/>
              </w:rPr>
              <w:t xml:space="preserve">entity_isin_map</w:t>
            </w:r>
          </w:p>
        </w:tc>
        <w:tc>
          <w:tcPr>
            <w:tcW w:type="dxa" w:w="4234"/>
            <w:tcMar>
              <w:top w:type="dxa" w:w="80"/>
              <w:left w:type="dxa" w:w="100"/>
              <w:bottom w:type="dxa" w:w="80"/>
              <w:right w:type="dxa" w:w="100"/>
            </w:tcMar>
          </w:tcPr>
          <w:p>
            <w:r>
              <w:rPr>
                <w:sz w:val="20"/>
                <w:szCs w:val="20"/>
              </w:rPr>
              <w:t xml:space="preserve">Exact ISIN to entity_id bridge, from GLEIF's 8.8M-row file</w:t>
            </w:r>
          </w:p>
        </w:tc>
        <w:tc>
          <w:tcPr>
            <w:tcW w:type="dxa" w:w="3830"/>
            <w:tcMar>
              <w:top w:type="dxa" w:w="80"/>
              <w:left w:type="dxa" w:w="100"/>
              <w:bottom w:type="dxa" w:w="80"/>
              <w:right w:type="dxa" w:w="100"/>
            </w:tcMar>
          </w:tcPr>
          <w:p>
            <w:r>
              <w:rPr>
                <w:sz w:val="20"/>
                <w:szCs w:val="20"/>
              </w:rPr>
              <w:t xml:space="preserve">18,563 (June 21 count, not re-verified in July)</w:t>
            </w:r>
          </w:p>
        </w:tc>
      </w:tr>
      <w:tr>
        <w:tc>
          <w:tcPr>
            <w:tcW w:type="dxa" w:w="2016"/>
            <w:tcMar>
              <w:top w:type="dxa" w:w="80"/>
              <w:left w:type="dxa" w:w="100"/>
              <w:bottom w:type="dxa" w:w="80"/>
              <w:right w:type="dxa" w:w="100"/>
            </w:tcMar>
          </w:tcPr>
          <w:p>
            <w:r>
              <w:rPr>
                <w:sz w:val="20"/>
                <w:szCs w:val="20"/>
              </w:rPr>
              <w:t xml:space="preserve">entity_relationships</w:t>
            </w:r>
          </w:p>
        </w:tc>
        <w:tc>
          <w:tcPr>
            <w:tcW w:type="dxa" w:w="4234"/>
            <w:tcMar>
              <w:top w:type="dxa" w:w="80"/>
              <w:left w:type="dxa" w:w="100"/>
              <w:bottom w:type="dxa" w:w="80"/>
              <w:right w:type="dxa" w:w="100"/>
            </w:tcMar>
          </w:tcPr>
          <w:p>
            <w:r>
              <w:rPr>
                <w:sz w:val="20"/>
                <w:szCs w:val="20"/>
              </w:rPr>
              <w:t xml:space="preserve">Typed edges — legal_parent, fund_manager</w:t>
            </w:r>
          </w:p>
        </w:tc>
        <w:tc>
          <w:tcPr>
            <w:tcW w:type="dxa" w:w="3830"/>
            <w:tcMar>
              <w:top w:type="dxa" w:w="80"/>
              <w:left w:type="dxa" w:w="100"/>
              <w:bottom w:type="dxa" w:w="80"/>
              <w:right w:type="dxa" w:w="100"/>
            </w:tcMar>
          </w:tcPr>
          <w:p>
            <w:r>
              <w:rPr>
                <w:sz w:val="20"/>
                <w:szCs w:val="20"/>
              </w:rPr>
              <w:t xml:space="preserve">268 (264 fund_manager, 4 legal_parent) (June 21 count)</w:t>
            </w:r>
          </w:p>
        </w:tc>
      </w:tr>
      <w:tr>
        <w:tc>
          <w:tcPr>
            <w:tcW w:type="dxa" w:w="2016"/>
            <w:tcMar>
              <w:top w:type="dxa" w:w="80"/>
              <w:left w:type="dxa" w:w="100"/>
              <w:bottom w:type="dxa" w:w="80"/>
              <w:right w:type="dxa" w:w="100"/>
            </w:tcMar>
          </w:tcPr>
          <w:p>
            <w:r>
              <w:rPr>
                <w:sz w:val="20"/>
                <w:szCs w:val="20"/>
              </w:rPr>
              <w:t xml:space="preserve">entity_enrichment_queue</w:t>
            </w:r>
          </w:p>
        </w:tc>
        <w:tc>
          <w:tcPr>
            <w:tcW w:type="dxa" w:w="4234"/>
            <w:tcMar>
              <w:top w:type="dxa" w:w="80"/>
              <w:left w:type="dxa" w:w="100"/>
              <w:bottom w:type="dxa" w:w="80"/>
              <w:right w:type="dxa" w:w="100"/>
            </w:tcMar>
          </w:tcPr>
          <w:p>
            <w:r>
              <w:rPr>
                <w:sz w:val="20"/>
                <w:szCs w:val="20"/>
              </w:rPr>
              <w:t xml:space="preserve">GLEIF enrichment work queue</w:t>
            </w:r>
          </w:p>
        </w:tc>
        <w:tc>
          <w:tcPr>
            <w:tcW w:type="dxa" w:w="3830"/>
            <w:tcMar>
              <w:top w:type="dxa" w:w="80"/>
              <w:left w:type="dxa" w:w="100"/>
              <w:bottom w:type="dxa" w:w="80"/>
              <w:right w:type="dxa" w:w="100"/>
            </w:tcMar>
          </w:tcPr>
          <w:p>
            <w:r>
              <w:rPr>
                <w:sz w:val="20"/>
                <w:szCs w:val="20"/>
              </w:rPr>
              <w:t xml:space="preserve">1,247 complete, 1,229 failed (retry_after=2036), 1,010 pending (operating type) — enrichment paused since meridian-entities-enrich was frozen for Sprint 3, see Section 18.3</w:t>
            </w:r>
          </w:p>
        </w:tc>
      </w:tr>
      <w:tr>
        <w:tc>
          <w:tcPr>
            <w:tcW w:type="dxa" w:w="2016"/>
            <w:tcMar>
              <w:top w:type="dxa" w:w="80"/>
              <w:left w:type="dxa" w:w="100"/>
              <w:bottom w:type="dxa" w:w="80"/>
              <w:right w:type="dxa" w:w="100"/>
            </w:tcMar>
          </w:tcPr>
          <w:p>
            <w:r>
              <w:rPr>
                <w:sz w:val="20"/>
                <w:szCs w:val="20"/>
              </w:rPr>
              <w:t xml:space="preserve">entity_exposure_monthly</w:t>
            </w:r>
          </w:p>
        </w:tc>
        <w:tc>
          <w:tcPr>
            <w:tcW w:type="dxa" w:w="4234"/>
            <w:tcMar>
              <w:top w:type="dxa" w:w="80"/>
              <w:left w:type="dxa" w:w="100"/>
              <w:bottom w:type="dxa" w:w="80"/>
              <w:right w:type="dxa" w:w="100"/>
            </w:tcMar>
          </w:tcPr>
          <w:p>
            <w:r>
              <w:rPr>
                <w:sz w:val="20"/>
                <w:szCs w:val="20"/>
              </w:rPr>
              <w:t xml:space="preserve">Pre-computed exposure facts</w:t>
            </w:r>
          </w:p>
        </w:tc>
        <w:tc>
          <w:tcPr>
            <w:tcW w:type="dxa" w:w="3830"/>
            <w:tcMar>
              <w:top w:type="dxa" w:w="80"/>
              <w:left w:type="dxa" w:w="100"/>
              <w:bottom w:type="dxa" w:w="80"/>
              <w:right w:type="dxa" w:w="100"/>
            </w:tcMar>
          </w:tcPr>
          <w:p>
            <w:r>
              <w:rPr>
                <w:sz w:val="20"/>
                <w:szCs w:val="20"/>
              </w:rPr>
              <w:t xml:space="preserve">28,508 (June 21 count)</w:t>
            </w:r>
          </w:p>
        </w:tc>
      </w:tr>
      <w:tr>
        <w:tc>
          <w:tcPr>
            <w:tcW w:type="dxa" w:w="2016"/>
            <w:tcMar>
              <w:top w:type="dxa" w:w="80"/>
              <w:left w:type="dxa" w:w="100"/>
              <w:bottom w:type="dxa" w:w="80"/>
              <w:right w:type="dxa" w:w="100"/>
            </w:tcMar>
          </w:tcPr>
          <w:p>
            <w:r>
              <w:rPr>
                <w:sz w:val="20"/>
                <w:szCs w:val="20"/>
              </w:rPr>
              <w:t xml:space="preserve">fund_exposure_coverage</w:t>
            </w:r>
          </w:p>
        </w:tc>
        <w:tc>
          <w:tcPr>
            <w:tcW w:type="dxa" w:w="4234"/>
            <w:tcMar>
              <w:top w:type="dxa" w:w="80"/>
              <w:left w:type="dxa" w:w="100"/>
              <w:bottom w:type="dxa" w:w="80"/>
              <w:right w:type="dxa" w:w="100"/>
            </w:tcMar>
          </w:tcPr>
          <w:p>
            <w:r>
              <w:rPr>
                <w:sz w:val="20"/>
                <w:szCs w:val="20"/>
              </w:rPr>
              <w:t xml:space="preserve">Coverage denominator per ETF per month</w:t>
            </w:r>
          </w:p>
        </w:tc>
        <w:tc>
          <w:tcPr>
            <w:tcW w:type="dxa" w:w="3830"/>
            <w:tcMar>
              <w:top w:type="dxa" w:w="80"/>
              <w:left w:type="dxa" w:w="100"/>
              <w:bottom w:type="dxa" w:w="80"/>
              <w:right w:type="dxa" w:w="100"/>
            </w:tcMar>
          </w:tcPr>
          <w:p>
            <w:r>
              <w:rPr>
                <w:sz w:val="20"/>
                <w:szCs w:val="20"/>
              </w:rPr>
              <w:t xml:space="preserve">133 (June 21 count)</w:t>
            </w:r>
          </w:p>
        </w:tc>
      </w:tr>
      <w:tr>
        <w:tc>
          <w:tcPr>
            <w:tcW w:type="dxa" w:w="2016"/>
            <w:tcMar>
              <w:top w:type="dxa" w:w="80"/>
              <w:left w:type="dxa" w:w="100"/>
              <w:bottom w:type="dxa" w:w="80"/>
              <w:right w:type="dxa" w:w="100"/>
            </w:tcMar>
          </w:tcPr>
          <w:p>
            <w:r>
              <w:rPr>
                <w:sz w:val="20"/>
                <w:szCs w:val="20"/>
              </w:rPr>
              <w:t xml:space="preserve">fund_entity_link</w:t>
            </w:r>
          </w:p>
        </w:tc>
        <w:tc>
          <w:tcPr>
            <w:tcW w:type="dxa" w:w="4234"/>
            <w:tcMar>
              <w:top w:type="dxa" w:w="80"/>
              <w:left w:type="dxa" w:w="100"/>
              <w:bottom w:type="dxa" w:w="80"/>
              <w:right w:type="dxa" w:w="100"/>
            </w:tcMar>
          </w:tcPr>
          <w:p>
            <w:r>
              <w:rPr>
                <w:sz w:val="20"/>
                <w:szCs w:val="20"/>
              </w:rPr>
              <w:t xml:space="preserve">Maps ETFs to fund entity_id</w:t>
            </w:r>
          </w:p>
        </w:tc>
        <w:tc>
          <w:tcPr>
            <w:tcW w:type="dxa" w:w="3830"/>
            <w:tcMar>
              <w:top w:type="dxa" w:w="80"/>
              <w:left w:type="dxa" w:w="100"/>
              <w:bottom w:type="dxa" w:w="80"/>
              <w:right w:type="dxa" w:w="100"/>
            </w:tcMar>
          </w:tcPr>
          <w:p>
            <w:r>
              <w:rPr>
                <w:sz w:val="20"/>
                <w:szCs w:val="20"/>
              </w:rPr>
              <w:t xml:space="preserve">264 (June 21 count)</w:t>
            </w:r>
          </w:p>
        </w:tc>
      </w:tr>
      <w:tr>
        <w:tc>
          <w:tcPr>
            <w:tcW w:type="dxa" w:w="2016"/>
            <w:tcMar>
              <w:top w:type="dxa" w:w="80"/>
              <w:left w:type="dxa" w:w="100"/>
              <w:bottom w:type="dxa" w:w="80"/>
              <w:right w:type="dxa" w:w="100"/>
            </w:tcMar>
          </w:tcPr>
          <w:p>
            <w:r>
              <w:rPr>
                <w:sz w:val="20"/>
                <w:szCs w:val="20"/>
              </w:rPr>
              <w:t xml:space="preserve">instrument_master</w:t>
            </w:r>
          </w:p>
        </w:tc>
        <w:tc>
          <w:tcPr>
            <w:tcW w:type="dxa" w:w="4234"/>
            <w:tcMar>
              <w:top w:type="dxa" w:w="80"/>
              <w:left w:type="dxa" w:w="100"/>
              <w:bottom w:type="dxa" w:w="80"/>
              <w:right w:type="dxa" w:w="100"/>
            </w:tcMar>
          </w:tcPr>
          <w:p>
            <w:r>
              <w:rPr>
                <w:sz w:val="20"/>
                <w:szCs w:val="20"/>
              </w:rPr>
              <w:t xml:space="preserve">Normalized security universe (ISIN/CUSIP/TICKER/NAME)</w:t>
            </w:r>
          </w:p>
        </w:tc>
        <w:tc>
          <w:tcPr>
            <w:tcW w:type="dxa" w:w="3830"/>
            <w:tcMar>
              <w:top w:type="dxa" w:w="80"/>
              <w:left w:type="dxa" w:w="100"/>
              <w:bottom w:type="dxa" w:w="80"/>
              <w:right w:type="dxa" w:w="100"/>
            </w:tcMar>
          </w:tcPr>
          <w:p>
            <w:r>
              <w:rPr>
                <w:sz w:val="20"/>
                <w:szCs w:val="20"/>
              </w:rPr>
              <w:t xml:space="preserve">54,562 (June 21 count)</w:t>
            </w:r>
          </w:p>
        </w:tc>
      </w:tr>
      <w:tr>
        <w:tc>
          <w:tcPr>
            <w:tcW w:type="dxa" w:w="2016"/>
            <w:tcMar>
              <w:top w:type="dxa" w:w="80"/>
              <w:left w:type="dxa" w:w="100"/>
              <w:bottom w:type="dxa" w:w="80"/>
              <w:right w:type="dxa" w:w="100"/>
            </w:tcMar>
          </w:tcPr>
          <w:p>
            <w:r>
              <w:rPr>
                <w:sz w:val="20"/>
                <w:szCs w:val="20"/>
              </w:rPr>
              <w:t xml:space="preserve">instrument_entity_map</w:t>
            </w:r>
          </w:p>
        </w:tc>
        <w:tc>
          <w:tcPr>
            <w:tcW w:type="dxa" w:w="4234"/>
            <w:tcMar>
              <w:top w:type="dxa" w:w="80"/>
              <w:left w:type="dxa" w:w="100"/>
              <w:bottom w:type="dxa" w:w="80"/>
              <w:right w:type="dxa" w:w="100"/>
            </w:tcMar>
          </w:tcPr>
          <w:p>
            <w:r>
              <w:rPr>
                <w:sz w:val="20"/>
                <w:szCs w:val="20"/>
              </w:rPr>
              <w:t xml:space="preserve">Maps instruments to issuer entities</w:t>
            </w:r>
          </w:p>
        </w:tc>
        <w:tc>
          <w:tcPr>
            <w:tcW w:type="dxa" w:w="3830"/>
            <w:tcMar>
              <w:top w:type="dxa" w:w="80"/>
              <w:left w:type="dxa" w:w="100"/>
              <w:bottom w:type="dxa" w:w="80"/>
              <w:right w:type="dxa" w:w="100"/>
            </w:tcMar>
          </w:tcPr>
          <w:p>
            <w:r>
              <w:rPr>
                <w:sz w:val="20"/>
                <w:szCs w:val="20"/>
              </w:rPr>
              <w:t xml:space="preserve">23,963 — 43.9% coverage (June 21 count, see Section 14.3)</w:t>
            </w:r>
          </w:p>
        </w:tc>
      </w:tr>
    </w:tbl>
    <w:p>
      <w:pPr>
        <w:pStyle w:val="Heading2"/>
        <w:spacing w:after="120" w:before="240"/>
      </w:pPr>
      <w:r>
        <w:rPr>
          <w:b/>
          <w:bCs/>
          <w:sz w:val="24"/>
          <w:szCs w:val="24"/>
        </w:rPr>
        <w:t xml:space="preserve">3.3 13F Domain (NEW — Sprint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5544"/>
        <w:gridCol w:w="2318"/>
      </w:tblGrid>
      <w:tr>
        <w:trPr>
          <w:tblHeader/>
        </w:trPr>
        <w:tc>
          <w:tcPr>
            <w:tcW w:type="dxa" w:w="2218"/>
            <w:shd w:fill="D9E2F3" w:val="clear"/>
            <w:tcMar>
              <w:top w:type="dxa" w:w="80"/>
              <w:left w:type="dxa" w:w="100"/>
              <w:bottom w:type="dxa" w:w="80"/>
              <w:right w:type="dxa" w:w="100"/>
            </w:tcMar>
          </w:tcPr>
          <w:p>
            <w:r>
              <w:rPr>
                <w:b/>
                <w:bCs/>
                <w:sz w:val="20"/>
                <w:szCs w:val="20"/>
              </w:rPr>
              <w:t xml:space="preserve">Table</w:t>
            </w:r>
          </w:p>
        </w:tc>
        <w:tc>
          <w:tcPr>
            <w:tcW w:type="dxa" w:w="5544"/>
            <w:shd w:fill="D9E2F3" w:val="clear"/>
            <w:tcMar>
              <w:top w:type="dxa" w:w="80"/>
              <w:left w:type="dxa" w:w="100"/>
              <w:bottom w:type="dxa" w:w="80"/>
              <w:right w:type="dxa" w:w="100"/>
            </w:tcMar>
          </w:tcPr>
          <w:p>
            <w:r>
              <w:rPr>
                <w:b/>
                <w:bCs/>
                <w:sz w:val="20"/>
                <w:szCs w:val="20"/>
              </w:rPr>
              <w:t xml:space="preserve">Purpose</w:t>
            </w:r>
          </w:p>
        </w:tc>
        <w:tc>
          <w:tcPr>
            <w:tcW w:type="dxa" w:w="2318"/>
            <w:shd w:fill="D9E2F3" w:val="clear"/>
            <w:tcMar>
              <w:top w:type="dxa" w:w="80"/>
              <w:left w:type="dxa" w:w="100"/>
              <w:bottom w:type="dxa" w:w="80"/>
              <w:right w:type="dxa" w:w="100"/>
            </w:tcMar>
          </w:tcPr>
          <w:p>
            <w:r>
              <w:rPr>
                <w:b/>
                <w:bCs/>
                <w:sz w:val="20"/>
                <w:szCs w:val="20"/>
              </w:rPr>
              <w:t xml:space="preserve">Rows</w:t>
            </w:r>
          </w:p>
        </w:tc>
      </w:tr>
      <w:tr>
        <w:tc>
          <w:tcPr>
            <w:tcW w:type="dxa" w:w="2218"/>
            <w:tcMar>
              <w:top w:type="dxa" w:w="80"/>
              <w:left w:type="dxa" w:w="100"/>
              <w:bottom w:type="dxa" w:w="80"/>
              <w:right w:type="dxa" w:w="100"/>
            </w:tcMar>
          </w:tcPr>
          <w:p>
            <w:r>
              <w:rPr>
                <w:sz w:val="20"/>
                <w:szCs w:val="20"/>
              </w:rPr>
              <w:t xml:space="preserve">managermaster</w:t>
            </w:r>
          </w:p>
        </w:tc>
        <w:tc>
          <w:tcPr>
            <w:tcW w:type="dxa" w:w="5544"/>
            <w:tcMar>
              <w:top w:type="dxa" w:w="80"/>
              <w:left w:type="dxa" w:w="100"/>
              <w:bottom w:type="dxa" w:w="80"/>
              <w:right w:type="dxa" w:w="100"/>
            </w:tcMar>
          </w:tcPr>
          <w:p>
            <w:r>
              <w:rPr>
                <w:sz w:val="20"/>
                <w:szCs w:val="20"/>
              </w:rPr>
              <w:t xml:space="preserve">All 13F filers, 4 quarters. Canonical names, CIKs, normalized names.</w:t>
            </w:r>
          </w:p>
        </w:tc>
        <w:tc>
          <w:tcPr>
            <w:tcW w:type="dxa" w:w="2318"/>
            <w:tcMar>
              <w:top w:type="dxa" w:w="80"/>
              <w:left w:type="dxa" w:w="100"/>
              <w:bottom w:type="dxa" w:w="80"/>
              <w:right w:type="dxa" w:w="100"/>
            </w:tcMar>
          </w:tcPr>
          <w:p>
            <w:r>
              <w:rPr>
                <w:sz w:val="20"/>
                <w:szCs w:val="20"/>
              </w:rPr>
              <w:t xml:space="preserve">11,135</w:t>
            </w:r>
          </w:p>
        </w:tc>
      </w:tr>
      <w:tr>
        <w:tc>
          <w:tcPr>
            <w:tcW w:type="dxa" w:w="2218"/>
            <w:tcMar>
              <w:top w:type="dxa" w:w="80"/>
              <w:left w:type="dxa" w:w="100"/>
              <w:bottom w:type="dxa" w:w="80"/>
              <w:right w:type="dxa" w:w="100"/>
            </w:tcMar>
          </w:tcPr>
          <w:p>
            <w:r>
              <w:rPr>
                <w:sz w:val="20"/>
                <w:szCs w:val="20"/>
              </w:rPr>
              <w:t xml:space="preserve">manageraliases</w:t>
            </w:r>
          </w:p>
        </w:tc>
        <w:tc>
          <w:tcPr>
            <w:tcW w:type="dxa" w:w="5544"/>
            <w:tcMar>
              <w:top w:type="dxa" w:w="80"/>
              <w:left w:type="dxa" w:w="100"/>
              <w:bottom w:type="dxa" w:w="80"/>
              <w:right w:type="dxa" w:w="100"/>
            </w:tcMar>
          </w:tcPr>
          <w:p>
            <w:r>
              <w:rPr>
                <w:sz w:val="20"/>
                <w:szCs w:val="20"/>
              </w:rPr>
              <w:t xml:space="preserve">Name variants per manager, across all quarters.</w:t>
            </w:r>
          </w:p>
        </w:tc>
        <w:tc>
          <w:tcPr>
            <w:tcW w:type="dxa" w:w="2318"/>
            <w:tcMar>
              <w:top w:type="dxa" w:w="80"/>
              <w:left w:type="dxa" w:w="100"/>
              <w:bottom w:type="dxa" w:w="80"/>
              <w:right w:type="dxa" w:w="100"/>
            </w:tcMar>
          </w:tcPr>
          <w:p>
            <w:r>
              <w:rPr>
                <w:sz w:val="20"/>
                <w:szCs w:val="20"/>
              </w:rPr>
              <w:t xml:space="preserve">20,679</w:t>
            </w:r>
          </w:p>
        </w:tc>
      </w:tr>
      <w:tr>
        <w:tc>
          <w:tcPr>
            <w:tcW w:type="dxa" w:w="2218"/>
            <w:tcMar>
              <w:top w:type="dxa" w:w="80"/>
              <w:left w:type="dxa" w:w="100"/>
              <w:bottom w:type="dxa" w:w="80"/>
              <w:right w:type="dxa" w:w="100"/>
            </w:tcMar>
          </w:tcPr>
          <w:p>
            <w:r>
              <w:rPr>
                <w:sz w:val="20"/>
                <w:szCs w:val="20"/>
              </w:rPr>
              <w:t xml:space="preserve">holding13f_normalized</w:t>
            </w:r>
          </w:p>
        </w:tc>
        <w:tc>
          <w:tcPr>
            <w:tcW w:type="dxa" w:w="5544"/>
            <w:tcMar>
              <w:top w:type="dxa" w:w="80"/>
              <w:left w:type="dxa" w:w="100"/>
              <w:bottom w:type="dxa" w:w="80"/>
              <w:right w:type="dxa" w:w="100"/>
            </w:tcMar>
          </w:tcPr>
          <w:p>
            <w:r>
              <w:rPr>
                <w:sz w:val="20"/>
                <w:szCs w:val="20"/>
              </w:rPr>
              <w:t xml:space="preserve">Track A (top 150 concentrated) + Track B/C (20 mega-filers, 80% AUM cap) + always-include (6 funds), 4 quarters. Prime brokers excluded. holding13f_raw was deliberately not built — TSV parses directly into this table.</w:t>
            </w:r>
          </w:p>
        </w:tc>
        <w:tc>
          <w:tcPr>
            <w:tcW w:type="dxa" w:w="2318"/>
            <w:tcMar>
              <w:top w:type="dxa" w:w="80"/>
              <w:left w:type="dxa" w:w="100"/>
              <w:bottom w:type="dxa" w:w="80"/>
              <w:right w:type="dxa" w:w="100"/>
            </w:tcMar>
          </w:tcPr>
          <w:p>
            <w:r>
              <w:rPr>
                <w:sz w:val="20"/>
                <w:szCs w:val="20"/>
              </w:rPr>
              <w:t xml:space="preserve">249,511</w:t>
            </w:r>
          </w:p>
        </w:tc>
      </w:tr>
      <w:tr>
        <w:tc>
          <w:tcPr>
            <w:tcW w:type="dxa" w:w="2218"/>
            <w:tcMar>
              <w:top w:type="dxa" w:w="80"/>
              <w:left w:type="dxa" w:w="100"/>
              <w:bottom w:type="dxa" w:w="80"/>
              <w:right w:type="dxa" w:w="100"/>
            </w:tcMar>
          </w:tcPr>
          <w:p>
            <w:r>
              <w:rPr>
                <w:sz w:val="20"/>
                <w:szCs w:val="20"/>
              </w:rPr>
              <w:t xml:space="preserve">filing13f</w:t>
            </w:r>
          </w:p>
        </w:tc>
        <w:tc>
          <w:tcPr>
            <w:tcW w:type="dxa" w:w="5544"/>
            <w:tcMar>
              <w:top w:type="dxa" w:w="80"/>
              <w:left w:type="dxa" w:w="100"/>
              <w:bottom w:type="dxa" w:w="80"/>
              <w:right w:type="dxa" w:w="100"/>
            </w:tcMar>
          </w:tcPr>
          <w:p>
            <w:r>
              <w:rPr>
                <w:sz w:val="20"/>
                <w:szCs w:val="20"/>
              </w:rPr>
              <w:t xml:space="preserve">Filing metadata, all 4 quarters. Index: idx_filing13f_cik.</w:t>
            </w:r>
          </w:p>
        </w:tc>
        <w:tc>
          <w:tcPr>
            <w:tcW w:type="dxa" w:w="2318"/>
            <w:tcMar>
              <w:top w:type="dxa" w:w="80"/>
              <w:left w:type="dxa" w:w="100"/>
              <w:bottom w:type="dxa" w:w="80"/>
              <w:right w:type="dxa" w:w="100"/>
            </w:tcMar>
          </w:tcPr>
          <w:p>
            <w:r>
              <w:rPr>
                <w:sz w:val="20"/>
                <w:szCs w:val="20"/>
              </w:rPr>
              <w:t xml:space="preserve">43,358</w:t>
            </w:r>
          </w:p>
        </w:tc>
      </w:tr>
      <w:tr>
        <w:tc>
          <w:tcPr>
            <w:tcW w:type="dxa" w:w="2218"/>
            <w:tcMar>
              <w:top w:type="dxa" w:w="80"/>
              <w:left w:type="dxa" w:w="100"/>
              <w:bottom w:type="dxa" w:w="80"/>
              <w:right w:type="dxa" w:w="100"/>
            </w:tcMar>
          </w:tcPr>
          <w:p>
            <w:r>
              <w:rPr>
                <w:sz w:val="20"/>
                <w:szCs w:val="20"/>
              </w:rPr>
              <w:t xml:space="preserve">filing13f_other_managers</w:t>
            </w:r>
          </w:p>
        </w:tc>
        <w:tc>
          <w:tcPr>
            <w:tcW w:type="dxa" w:w="5544"/>
            <w:tcMar>
              <w:top w:type="dxa" w:w="80"/>
              <w:left w:type="dxa" w:w="100"/>
              <w:bottom w:type="dxa" w:w="80"/>
              <w:right w:type="dxa" w:w="100"/>
            </w:tcMar>
          </w:tcPr>
          <w:p>
            <w:r>
              <w:rPr>
                <w:sz w:val="20"/>
                <w:szCs w:val="20"/>
              </w:rPr>
              <w:t xml:space="preserve">Joint filer relationships.</w:t>
            </w:r>
          </w:p>
        </w:tc>
        <w:tc>
          <w:tcPr>
            <w:tcW w:type="dxa" w:w="2318"/>
            <w:tcMar>
              <w:top w:type="dxa" w:w="80"/>
              <w:left w:type="dxa" w:w="100"/>
              <w:bottom w:type="dxa" w:w="80"/>
              <w:right w:type="dxa" w:w="100"/>
            </w:tcMar>
          </w:tcPr>
          <w:p>
            <w:r>
              <w:rPr>
                <w:sz w:val="20"/>
                <w:szCs w:val="20"/>
              </w:rPr>
              <w:t xml:space="preserve">33,822</w:t>
            </w:r>
          </w:p>
        </w:tc>
      </w:tr>
    </w:tbl>
    <w:p>
      <w:pPr>
        <w:pStyle w:val="Heading2"/>
        <w:spacing w:after="120" w:before="240"/>
      </w:pPr>
      <w:r>
        <w:rPr>
          <w:b/>
          <w:bCs/>
          <w:sz w:val="24"/>
          <w:szCs w:val="24"/>
        </w:rPr>
        <w:t xml:space="preserve">3.4 Filings Domain (NEW — Sprint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5544"/>
        <w:gridCol w:w="2318"/>
      </w:tblGrid>
      <w:tr>
        <w:trPr>
          <w:tblHeader/>
        </w:trPr>
        <w:tc>
          <w:tcPr>
            <w:tcW w:type="dxa" w:w="2218"/>
            <w:shd w:fill="D9E2F3" w:val="clear"/>
            <w:tcMar>
              <w:top w:type="dxa" w:w="80"/>
              <w:left w:type="dxa" w:w="100"/>
              <w:bottom w:type="dxa" w:w="80"/>
              <w:right w:type="dxa" w:w="100"/>
            </w:tcMar>
          </w:tcPr>
          <w:p>
            <w:r>
              <w:rPr>
                <w:b/>
                <w:bCs/>
                <w:sz w:val="20"/>
                <w:szCs w:val="20"/>
              </w:rPr>
              <w:t xml:space="preserve">Table</w:t>
            </w:r>
          </w:p>
        </w:tc>
        <w:tc>
          <w:tcPr>
            <w:tcW w:type="dxa" w:w="5544"/>
            <w:shd w:fill="D9E2F3" w:val="clear"/>
            <w:tcMar>
              <w:top w:type="dxa" w:w="80"/>
              <w:left w:type="dxa" w:w="100"/>
              <w:bottom w:type="dxa" w:w="80"/>
              <w:right w:type="dxa" w:w="100"/>
            </w:tcMar>
          </w:tcPr>
          <w:p>
            <w:r>
              <w:rPr>
                <w:b/>
                <w:bCs/>
                <w:sz w:val="20"/>
                <w:szCs w:val="20"/>
              </w:rPr>
              <w:t xml:space="preserve">Purpose</w:t>
            </w:r>
          </w:p>
        </w:tc>
        <w:tc>
          <w:tcPr>
            <w:tcW w:type="dxa" w:w="2318"/>
            <w:shd w:fill="D9E2F3" w:val="clear"/>
            <w:tcMar>
              <w:top w:type="dxa" w:w="80"/>
              <w:left w:type="dxa" w:w="100"/>
              <w:bottom w:type="dxa" w:w="80"/>
              <w:right w:type="dxa" w:w="100"/>
            </w:tcMar>
          </w:tcPr>
          <w:p>
            <w:r>
              <w:rPr>
                <w:b/>
                <w:bCs/>
                <w:sz w:val="20"/>
                <w:szCs w:val="20"/>
              </w:rPr>
              <w:t xml:space="preserve">Rows</w:t>
            </w:r>
          </w:p>
        </w:tc>
      </w:tr>
      <w:tr>
        <w:tc>
          <w:tcPr>
            <w:tcW w:type="dxa" w:w="2218"/>
            <w:tcMar>
              <w:top w:type="dxa" w:w="80"/>
              <w:left w:type="dxa" w:w="100"/>
              <w:bottom w:type="dxa" w:w="80"/>
              <w:right w:type="dxa" w:w="100"/>
            </w:tcMar>
          </w:tcPr>
          <w:p>
            <w:r>
              <w:rPr>
                <w:sz w:val="20"/>
                <w:szCs w:val="20"/>
              </w:rPr>
              <w:t xml:space="preserve">issuerfilingmaster</w:t>
            </w:r>
          </w:p>
        </w:tc>
        <w:tc>
          <w:tcPr>
            <w:tcW w:type="dxa" w:w="5544"/>
            <w:tcMar>
              <w:top w:type="dxa" w:w="80"/>
              <w:left w:type="dxa" w:w="100"/>
              <w:bottom w:type="dxa" w:w="80"/>
              <w:right w:type="dxa" w:w="100"/>
            </w:tcMar>
          </w:tcPr>
          <w:p>
            <w:r>
              <w:rPr>
                <w:sz w:val="20"/>
                <w:szCs w:val="20"/>
              </w:rPr>
              <w:t xml:space="preserve">10-K, 10-Q, 8-K for 3,182 issuers. 1-year lookback (Day 2 onward; Day 1's initial 2,100 issuers used a 2-year window). Index: idx_issuerfilingmaster_cik_form.</w:t>
            </w:r>
          </w:p>
        </w:tc>
        <w:tc>
          <w:tcPr>
            <w:tcW w:type="dxa" w:w="2318"/>
            <w:tcMar>
              <w:top w:type="dxa" w:w="80"/>
              <w:left w:type="dxa" w:w="100"/>
              <w:bottom w:type="dxa" w:w="80"/>
              <w:right w:type="dxa" w:w="100"/>
            </w:tcMar>
          </w:tcPr>
          <w:p>
            <w:r>
              <w:rPr>
                <w:sz w:val="20"/>
                <w:szCs w:val="20"/>
              </w:rPr>
              <w:t xml:space="preserve">75,110</w:t>
            </w:r>
          </w:p>
        </w:tc>
      </w:tr>
      <w:tr>
        <w:tc>
          <w:tcPr>
            <w:tcW w:type="dxa" w:w="2218"/>
            <w:tcMar>
              <w:top w:type="dxa" w:w="80"/>
              <w:left w:type="dxa" w:w="100"/>
              <w:bottom w:type="dxa" w:w="80"/>
              <w:right w:type="dxa" w:w="100"/>
            </w:tcMar>
          </w:tcPr>
          <w:p>
            <w:r>
              <w:rPr>
                <w:sz w:val="20"/>
                <w:szCs w:val="20"/>
              </w:rPr>
              <w:t xml:space="preserve">financialfact_reported</w:t>
            </w:r>
          </w:p>
        </w:tc>
        <w:tc>
          <w:tcPr>
            <w:tcW w:type="dxa" w:w="5544"/>
            <w:tcMar>
              <w:top w:type="dxa" w:w="80"/>
              <w:left w:type="dxa" w:w="100"/>
              <w:bottom w:type="dxa" w:w="80"/>
              <w:right w:type="dxa" w:w="100"/>
            </w:tcMar>
          </w:tcPr>
          <w:p>
            <w:r>
              <w:rPr>
                <w:sz w:val="20"/>
                <w:szCs w:val="20"/>
              </w:rPr>
              <w:t xml:space="preserve">Phase 1 only at launch: 500 priority issuers, 9 XBRL tags. Index: idx_financialfact_cik_tag. Phase 2 (2,682 issuers) pending post-release.</w:t>
            </w:r>
          </w:p>
        </w:tc>
        <w:tc>
          <w:tcPr>
            <w:tcW w:type="dxa" w:w="2318"/>
            <w:tcMar>
              <w:top w:type="dxa" w:w="80"/>
              <w:left w:type="dxa" w:w="100"/>
              <w:bottom w:type="dxa" w:w="80"/>
              <w:right w:type="dxa" w:w="100"/>
            </w:tcMar>
          </w:tcPr>
          <w:p>
            <w:r>
              <w:rPr>
                <w:sz w:val="20"/>
                <w:szCs w:val="20"/>
              </w:rPr>
              <w:t xml:space="preserve">41,321</w:t>
            </w:r>
          </w:p>
        </w:tc>
      </w:tr>
      <w:tr>
        <w:tc>
          <w:tcPr>
            <w:tcW w:type="dxa" w:w="2218"/>
            <w:tcMar>
              <w:top w:type="dxa" w:w="80"/>
              <w:left w:type="dxa" w:w="100"/>
              <w:bottom w:type="dxa" w:w="80"/>
              <w:right w:type="dxa" w:w="100"/>
            </w:tcMar>
          </w:tcPr>
          <w:p>
            <w:r>
              <w:rPr>
                <w:sz w:val="20"/>
                <w:szCs w:val="20"/>
              </w:rPr>
              <w:t xml:space="preserve">issuereventstream</w:t>
            </w:r>
          </w:p>
        </w:tc>
        <w:tc>
          <w:tcPr>
            <w:tcW w:type="dxa" w:w="5544"/>
            <w:tcMar>
              <w:top w:type="dxa" w:w="80"/>
              <w:left w:type="dxa" w:w="100"/>
              <w:bottom w:type="dxa" w:w="80"/>
              <w:right w:type="dxa" w:w="100"/>
            </w:tcMar>
          </w:tcPr>
          <w:p>
            <w:r>
              <w:rPr>
                <w:sz w:val="20"/>
                <w:szCs w:val="20"/>
              </w:rPr>
              <w:t xml:space="preserve">4 material-event item codes (1.01, 2.02, 5.02, 8.01), 2,884 issuers. Index: idx_issuereventstream_cik.</w:t>
            </w:r>
          </w:p>
        </w:tc>
        <w:tc>
          <w:tcPr>
            <w:tcW w:type="dxa" w:w="2318"/>
            <w:tcMar>
              <w:top w:type="dxa" w:w="80"/>
              <w:left w:type="dxa" w:w="100"/>
              <w:bottom w:type="dxa" w:w="80"/>
              <w:right w:type="dxa" w:w="100"/>
            </w:tcMar>
          </w:tcPr>
          <w:p>
            <w:r>
              <w:rPr>
                <w:sz w:val="20"/>
                <w:szCs w:val="20"/>
              </w:rPr>
              <w:t xml:space="preserve">49,564</w:t>
            </w:r>
          </w:p>
        </w:tc>
      </w:tr>
    </w:tbl>
    <w:p>
      <w:pPr>
        <w:pStyle w:val="Heading2"/>
        <w:spacing w:after="120" w:before="240"/>
      </w:pPr>
      <w:r>
        <w:rPr>
          <w:b/>
          <w:bCs/>
          <w:sz w:val="24"/>
          <w:szCs w:val="24"/>
        </w:rPr>
        <w:t xml:space="preserve">3.5 Precomputed Serving Tables (NEW — Sprint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5544"/>
        <w:gridCol w:w="2318"/>
      </w:tblGrid>
      <w:tr>
        <w:trPr>
          <w:tblHeader/>
        </w:trPr>
        <w:tc>
          <w:tcPr>
            <w:tcW w:type="dxa" w:w="2218"/>
            <w:shd w:fill="D9E2F3" w:val="clear"/>
            <w:tcMar>
              <w:top w:type="dxa" w:w="80"/>
              <w:left w:type="dxa" w:w="100"/>
              <w:bottom w:type="dxa" w:w="80"/>
              <w:right w:type="dxa" w:w="100"/>
            </w:tcMar>
          </w:tcPr>
          <w:p>
            <w:r>
              <w:rPr>
                <w:b/>
                <w:bCs/>
                <w:sz w:val="20"/>
                <w:szCs w:val="20"/>
              </w:rPr>
              <w:t xml:space="preserve">Table</w:t>
            </w:r>
          </w:p>
        </w:tc>
        <w:tc>
          <w:tcPr>
            <w:tcW w:type="dxa" w:w="5544"/>
            <w:shd w:fill="D9E2F3" w:val="clear"/>
            <w:tcMar>
              <w:top w:type="dxa" w:w="80"/>
              <w:left w:type="dxa" w:w="100"/>
              <w:bottom w:type="dxa" w:w="80"/>
              <w:right w:type="dxa" w:w="100"/>
            </w:tcMar>
          </w:tcPr>
          <w:p>
            <w:r>
              <w:rPr>
                <w:b/>
                <w:bCs/>
                <w:sz w:val="20"/>
                <w:szCs w:val="20"/>
              </w:rPr>
              <w:t xml:space="preserve">Purpose</w:t>
            </w:r>
          </w:p>
        </w:tc>
        <w:tc>
          <w:tcPr>
            <w:tcW w:type="dxa" w:w="2318"/>
            <w:shd w:fill="D9E2F3" w:val="clear"/>
            <w:tcMar>
              <w:top w:type="dxa" w:w="80"/>
              <w:left w:type="dxa" w:w="100"/>
              <w:bottom w:type="dxa" w:w="80"/>
              <w:right w:type="dxa" w:w="100"/>
            </w:tcMar>
          </w:tcPr>
          <w:p>
            <w:r>
              <w:rPr>
                <w:b/>
                <w:bCs/>
                <w:sz w:val="20"/>
                <w:szCs w:val="20"/>
              </w:rPr>
              <w:t xml:space="preserve">Rows</w:t>
            </w:r>
          </w:p>
        </w:tc>
      </w:tr>
      <w:tr>
        <w:tc>
          <w:tcPr>
            <w:tcW w:type="dxa" w:w="2218"/>
            <w:tcMar>
              <w:top w:type="dxa" w:w="80"/>
              <w:left w:type="dxa" w:w="100"/>
              <w:bottom w:type="dxa" w:w="80"/>
              <w:right w:type="dxa" w:w="100"/>
            </w:tcMar>
          </w:tcPr>
          <w:p>
            <w:r>
              <w:rPr>
                <w:sz w:val="20"/>
                <w:szCs w:val="20"/>
              </w:rPr>
              <w:t xml:space="preserve">managerissuerpositionquarterly</w:t>
            </w:r>
          </w:p>
        </w:tc>
        <w:tc>
          <w:tcPr>
            <w:tcW w:type="dxa" w:w="5544"/>
            <w:tcMar>
              <w:top w:type="dxa" w:w="80"/>
              <w:left w:type="dxa" w:w="100"/>
              <w:bottom w:type="dxa" w:w="80"/>
              <w:right w:type="dxa" w:w="100"/>
            </w:tcMar>
          </w:tcPr>
          <w:p>
            <w:r>
              <w:rPr>
                <w:sz w:val="20"/>
                <w:szCs w:val="20"/>
              </w:rPr>
              <w:t xml:space="preserve">Q4/Q3/Q2 2025 complete; Q1 2025 pending (3 backfill chunks remaining, see Section 18.2). Grain: UNIQUE(cik, cusip, put_call, report_period) — put_call added after a silent data-corruption bug was caught at gate S3.1.</w:t>
            </w:r>
          </w:p>
        </w:tc>
        <w:tc>
          <w:tcPr>
            <w:tcW w:type="dxa" w:w="2318"/>
            <w:tcMar>
              <w:top w:type="dxa" w:w="80"/>
              <w:left w:type="dxa" w:w="100"/>
              <w:bottom w:type="dxa" w:w="80"/>
              <w:right w:type="dxa" w:w="100"/>
            </w:tcMar>
          </w:tcPr>
          <w:p>
            <w:r>
              <w:rPr>
                <w:sz w:val="20"/>
                <w:szCs w:val="20"/>
              </w:rPr>
              <w:t xml:space="preserve">182,060</w:t>
            </w:r>
          </w:p>
        </w:tc>
      </w:tr>
      <w:tr>
        <w:tc>
          <w:tcPr>
            <w:tcW w:type="dxa" w:w="2218"/>
            <w:tcMar>
              <w:top w:type="dxa" w:w="80"/>
              <w:left w:type="dxa" w:w="100"/>
              <w:bottom w:type="dxa" w:w="80"/>
              <w:right w:type="dxa" w:w="100"/>
            </w:tcMar>
          </w:tcPr>
          <w:p>
            <w:r>
              <w:rPr>
                <w:sz w:val="20"/>
                <w:szCs w:val="20"/>
              </w:rPr>
              <w:t xml:space="preserve">issuerperiodsummary</w:t>
            </w:r>
          </w:p>
        </w:tc>
        <w:tc>
          <w:tcPr>
            <w:tcW w:type="dxa" w:w="5544"/>
            <w:tcMar>
              <w:top w:type="dxa" w:w="80"/>
              <w:left w:type="dxa" w:w="100"/>
              <w:bottom w:type="dxa" w:w="80"/>
              <w:right w:type="dxa" w:w="100"/>
            </w:tcMar>
          </w:tcPr>
          <w:p>
            <w:r>
              <w:rPr>
                <w:sz w:val="20"/>
                <w:szCs w:val="20"/>
              </w:rPr>
              <w:t xml:space="preserve">Latest annual + quarterly figure per issuer per XBRL tag (711 rows carry a computed net_margin). Grain: UNIQUE(cik, xbrl_tag, period_type). Self-maintaining via INSERT OR REPLACE, no time-based prune.</w:t>
            </w:r>
          </w:p>
        </w:tc>
        <w:tc>
          <w:tcPr>
            <w:tcW w:type="dxa" w:w="2318"/>
            <w:tcMar>
              <w:top w:type="dxa" w:w="80"/>
              <w:left w:type="dxa" w:w="100"/>
              <w:bottom w:type="dxa" w:w="80"/>
              <w:right w:type="dxa" w:w="100"/>
            </w:tcMar>
          </w:tcPr>
          <w:p>
            <w:r>
              <w:rPr>
                <w:sz w:val="20"/>
                <w:szCs w:val="20"/>
              </w:rPr>
              <w:t xml:space="preserve">7,041</w:t>
            </w:r>
          </w:p>
        </w:tc>
      </w:tr>
    </w:tbl>
    <w:p>
      <w:pPr>
        <w:pStyle w:val="Heading2"/>
        <w:spacing w:after="120" w:before="240"/>
      </w:pPr>
      <w:r>
        <w:rPr>
          <w:b/>
          <w:bCs/>
          <w:sz w:val="24"/>
          <w:szCs w:val="24"/>
        </w:rPr>
        <w:t xml:space="preserve">3.6 Local-Only (Never Uploaded to D1)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024"/>
        <w:gridCol w:w="4838"/>
      </w:tblGrid>
      <w:tr>
        <w:trPr>
          <w:tblHeader/>
        </w:trPr>
        <w:tc>
          <w:tcPr>
            <w:tcW w:type="dxa" w:w="2218"/>
            <w:shd w:fill="D9E2F3" w:val="clear"/>
            <w:tcMar>
              <w:top w:type="dxa" w:w="80"/>
              <w:left w:type="dxa" w:w="100"/>
              <w:bottom w:type="dxa" w:w="80"/>
              <w:right w:type="dxa" w:w="100"/>
            </w:tcMar>
          </w:tcPr>
          <w:p>
            <w:r>
              <w:rPr>
                <w:b/>
                <w:bCs/>
                <w:sz w:val="20"/>
                <w:szCs w:val="20"/>
              </w:rPr>
              <w:t xml:space="preserve">File</w:t>
            </w:r>
          </w:p>
        </w:tc>
        <w:tc>
          <w:tcPr>
            <w:tcW w:type="dxa" w:w="3024"/>
            <w:shd w:fill="D9E2F3" w:val="clear"/>
            <w:tcMar>
              <w:top w:type="dxa" w:w="80"/>
              <w:left w:type="dxa" w:w="100"/>
              <w:bottom w:type="dxa" w:w="80"/>
              <w:right w:type="dxa" w:w="100"/>
            </w:tcMar>
          </w:tcPr>
          <w:p>
            <w:r>
              <w:rPr>
                <w:b/>
                <w:bCs/>
                <w:sz w:val="20"/>
                <w:szCs w:val="20"/>
              </w:rPr>
              <w:t xml:space="preserve">Location</w:t>
            </w:r>
          </w:p>
        </w:tc>
        <w:tc>
          <w:tcPr>
            <w:tcW w:type="dxa" w:w="4838"/>
            <w:shd w:fill="D9E2F3" w:val="clear"/>
            <w:tcMar>
              <w:top w:type="dxa" w:w="80"/>
              <w:left w:type="dxa" w:w="100"/>
              <w:bottom w:type="dxa" w:w="80"/>
              <w:right w:type="dxa" w:w="100"/>
            </w:tcMar>
          </w:tcPr>
          <w:p>
            <w:r>
              <w:rPr>
                <w:b/>
                <w:bCs/>
                <w:sz w:val="20"/>
                <w:szCs w:val="20"/>
              </w:rPr>
              <w:t xml:space="preserve">Purpose</w:t>
            </w:r>
          </w:p>
        </w:tc>
      </w:tr>
      <w:tr>
        <w:tc>
          <w:tcPr>
            <w:tcW w:type="dxa" w:w="2218"/>
            <w:tcMar>
              <w:top w:type="dxa" w:w="80"/>
              <w:left w:type="dxa" w:w="100"/>
              <w:bottom w:type="dxa" w:w="80"/>
              <w:right w:type="dxa" w:w="100"/>
            </w:tcMar>
          </w:tcPr>
          <w:p>
            <w:r>
              <w:rPr>
                <w:sz w:val="20"/>
                <w:szCs w:val="20"/>
              </w:rPr>
              <w:t xml:space="preserve">gleif_local.db</w:t>
            </w:r>
          </w:p>
        </w:tc>
        <w:tc>
          <w:tcPr>
            <w:tcW w:type="dxa" w:w="3024"/>
            <w:tcMar>
              <w:top w:type="dxa" w:w="80"/>
              <w:left w:type="dxa" w:w="100"/>
              <w:bottom w:type="dxa" w:w="80"/>
              <w:right w:type="dxa" w:w="100"/>
            </w:tcMar>
          </w:tcPr>
          <w:p>
            <w:r>
              <w:rPr>
                <w:sz w:val="20"/>
                <w:szCs w:val="20"/>
              </w:rPr>
              <w:t xml:space="preserve">Mac only, Corporate Atlas/ folder</w:t>
            </w:r>
          </w:p>
        </w:tc>
        <w:tc>
          <w:tcPr>
            <w:tcW w:type="dxa" w:w="4838"/>
            <w:tcMar>
              <w:top w:type="dxa" w:w="80"/>
              <w:left w:type="dxa" w:w="100"/>
              <w:bottom w:type="dxa" w:w="80"/>
              <w:right w:type="dxa" w:w="100"/>
            </w:tcMar>
          </w:tcPr>
          <w:p>
            <w:r>
              <w:rPr>
                <w:sz w:val="20"/>
                <w:szCs w:val="20"/>
              </w:rPr>
              <w:t xml:space="preserve">Local SQLite reference copy of the full GLEIF Golden Copy (3.3M entities) and full ISIN-LEI mapping (8.8M rows). Rebuilt monthly.</w:t>
            </w:r>
          </w:p>
        </w:tc>
      </w:tr>
    </w:tbl>
    <w:p>
      <w:pPr>
        <w:pStyle w:val="Heading1"/>
        <w:spacing w:after="180" w:before="360"/>
      </w:pPr>
      <w:r>
        <w:rPr>
          <w:b/>
          <w:bCs/>
          <w:sz w:val="28"/>
          <w:szCs w:val="28"/>
        </w:rPr>
        <w:t xml:space="preserve">4. D1 Indexes — Full Inventory</w:t>
      </w:r>
    </w:p>
    <w:p>
      <w:pPr>
        <w:spacing w:after="160" w:before="0"/>
      </w:pPr>
      <w:r>
        <w:rPr>
          <w:b/>
          <w:bCs/>
        </w:rPr>
        <w:t xml:space="preserve">58 total (48 carried forward from v9, confirmed live June 20, 2026, plus 10 new indexes added in Sprint 2/3 for the 13F, Filings, and Precomputed Serving domains, confirmed live July 23, 2026).</w:t>
      </w:r>
    </w:p>
    <w:p>
      <w:pPr>
        <w:pStyle w:val="Heading2"/>
        <w:spacing w:after="120" w:before="240"/>
      </w:pPr>
      <w:r>
        <w:rPr>
          <w:b/>
          <w:bCs/>
          <w:sz w:val="24"/>
          <w:szCs w:val="24"/>
        </w:rPr>
        <w:t xml:space="preserve">4.1 ETF Domain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830"/>
        <w:gridCol w:w="3730"/>
      </w:tblGrid>
      <w:tr>
        <w:trPr>
          <w:tblHeader/>
        </w:trPr>
        <w:tc>
          <w:tcPr>
            <w:tcW w:type="dxa" w:w="2520"/>
            <w:shd w:fill="D9E2F3" w:val="clear"/>
            <w:tcMar>
              <w:top w:type="dxa" w:w="80"/>
              <w:left w:type="dxa" w:w="100"/>
              <w:bottom w:type="dxa" w:w="80"/>
              <w:right w:type="dxa" w:w="100"/>
            </w:tcMar>
          </w:tcPr>
          <w:p>
            <w:r>
              <w:rPr>
                <w:b/>
                <w:bCs/>
                <w:sz w:val="20"/>
                <w:szCs w:val="20"/>
              </w:rPr>
              <w:t xml:space="preserve">Table</w:t>
            </w:r>
          </w:p>
        </w:tc>
        <w:tc>
          <w:tcPr>
            <w:tcW w:type="dxa" w:w="3830"/>
            <w:shd w:fill="D9E2F3" w:val="clear"/>
            <w:tcMar>
              <w:top w:type="dxa" w:w="80"/>
              <w:left w:type="dxa" w:w="100"/>
              <w:bottom w:type="dxa" w:w="80"/>
              <w:right w:type="dxa" w:w="100"/>
            </w:tcMar>
          </w:tcPr>
          <w:p>
            <w:r>
              <w:rPr>
                <w:b/>
                <w:bCs/>
                <w:sz w:val="20"/>
                <w:szCs w:val="20"/>
              </w:rPr>
              <w:t xml:space="preserve">Index</w:t>
            </w:r>
          </w:p>
        </w:tc>
        <w:tc>
          <w:tcPr>
            <w:tcW w:type="dxa" w:w="3730"/>
            <w:shd w:fill="D9E2F3" w:val="clear"/>
            <w:tcMar>
              <w:top w:type="dxa" w:w="80"/>
              <w:left w:type="dxa" w:w="100"/>
              <w:bottom w:type="dxa" w:w="80"/>
              <w:right w:type="dxa" w:w="100"/>
            </w:tcMar>
          </w:tcPr>
          <w:p>
            <w:r>
              <w:rPr>
                <w:b/>
                <w:bCs/>
                <w:sz w:val="20"/>
                <w:szCs w:val="20"/>
              </w:rPr>
              <w:t xml:space="preserve">Columns</w:t>
            </w:r>
          </w:p>
        </w:tc>
      </w:tr>
      <w:tr>
        <w:tc>
          <w:tcPr>
            <w:tcW w:type="dxa" w:w="2520"/>
            <w:tcMar>
              <w:top w:type="dxa" w:w="80"/>
              <w:left w:type="dxa" w:w="100"/>
              <w:bottom w:type="dxa" w:w="80"/>
              <w:right w:type="dxa" w:w="100"/>
            </w:tcMar>
          </w:tcPr>
          <w:p>
            <w:r>
              <w:rPr>
                <w:sz w:val="20"/>
                <w:szCs w:val="20"/>
              </w:rPr>
              <w:t xml:space="preserve">fund_holdings_monthly</w:t>
            </w:r>
          </w:p>
        </w:tc>
        <w:tc>
          <w:tcPr>
            <w:tcW w:type="dxa" w:w="3830"/>
            <w:tcMar>
              <w:top w:type="dxa" w:w="80"/>
              <w:left w:type="dxa" w:w="100"/>
              <w:bottom w:type="dxa" w:w="80"/>
              <w:right w:type="dxa" w:w="100"/>
            </w:tcMar>
          </w:tcPr>
          <w:p>
            <w:r>
              <w:rPr>
                <w:sz w:val="20"/>
                <w:szCs w:val="20"/>
              </w:rPr>
              <w:t xml:space="preserve">idx_holdings_month</w:t>
            </w:r>
          </w:p>
        </w:tc>
        <w:tc>
          <w:tcPr>
            <w:tcW w:type="dxa" w:w="3730"/>
            <w:tcMar>
              <w:top w:type="dxa" w:w="80"/>
              <w:left w:type="dxa" w:w="100"/>
              <w:bottom w:type="dxa" w:w="80"/>
              <w:right w:type="dxa" w:w="100"/>
            </w:tcMar>
          </w:tcPr>
          <w:p>
            <w:r>
              <w:rPr>
                <w:sz w:val="20"/>
                <w:szCs w:val="20"/>
              </w:rPr>
              <w:t xml:space="preserve">(report_month)</w:t>
            </w:r>
          </w:p>
        </w:tc>
      </w:tr>
      <w:tr>
        <w:tc>
          <w:tcPr>
            <w:tcW w:type="dxa" w:w="2520"/>
            <w:tcMar>
              <w:top w:type="dxa" w:w="80"/>
              <w:left w:type="dxa" w:w="100"/>
              <w:bottom w:type="dxa" w:w="80"/>
              <w:right w:type="dxa" w:w="100"/>
            </w:tcMar>
          </w:tcPr>
          <w:p>
            <w:r>
              <w:rPr>
                <w:sz w:val="20"/>
                <w:szCs w:val="20"/>
              </w:rPr>
              <w:t xml:space="preserve">fund_holdings_monthly</w:t>
            </w:r>
          </w:p>
        </w:tc>
        <w:tc>
          <w:tcPr>
            <w:tcW w:type="dxa" w:w="3830"/>
            <w:tcMar>
              <w:top w:type="dxa" w:w="80"/>
              <w:left w:type="dxa" w:w="100"/>
              <w:bottom w:type="dxa" w:w="80"/>
              <w:right w:type="dxa" w:w="100"/>
            </w:tcMar>
          </w:tcPr>
          <w:p>
            <w:r>
              <w:rPr>
                <w:sz w:val="20"/>
                <w:szCs w:val="20"/>
              </w:rPr>
              <w:t xml:space="preserve">idx_holdings_series_month</w:t>
            </w:r>
          </w:p>
        </w:tc>
        <w:tc>
          <w:tcPr>
            <w:tcW w:type="dxa" w:w="3730"/>
            <w:tcMar>
              <w:top w:type="dxa" w:w="80"/>
              <w:left w:type="dxa" w:w="100"/>
              <w:bottom w:type="dxa" w:w="80"/>
              <w:right w:type="dxa" w:w="100"/>
            </w:tcMar>
          </w:tcPr>
          <w:p>
            <w:r>
              <w:rPr>
                <w:sz w:val="20"/>
                <w:szCs w:val="20"/>
              </w:rPr>
              <w:t xml:space="preserve">(series_id, report_month)</w:t>
            </w:r>
          </w:p>
        </w:tc>
      </w:tr>
      <w:tr>
        <w:tc>
          <w:tcPr>
            <w:tcW w:type="dxa" w:w="2520"/>
            <w:tcMar>
              <w:top w:type="dxa" w:w="80"/>
              <w:left w:type="dxa" w:w="100"/>
              <w:bottom w:type="dxa" w:w="80"/>
              <w:right w:type="dxa" w:w="100"/>
            </w:tcMar>
          </w:tcPr>
          <w:p>
            <w:r>
              <w:rPr>
                <w:sz w:val="20"/>
                <w:szCs w:val="20"/>
              </w:rPr>
              <w:t xml:space="preserve">fund_holdings_monthly</w:t>
            </w:r>
          </w:p>
        </w:tc>
        <w:tc>
          <w:tcPr>
            <w:tcW w:type="dxa" w:w="3830"/>
            <w:tcMar>
              <w:top w:type="dxa" w:w="80"/>
              <w:left w:type="dxa" w:w="100"/>
              <w:bottom w:type="dxa" w:w="80"/>
              <w:right w:type="dxa" w:w="100"/>
            </w:tcMar>
          </w:tcPr>
          <w:p>
            <w:r>
              <w:rPr>
                <w:sz w:val="20"/>
                <w:szCs w:val="20"/>
              </w:rPr>
              <w:t xml:space="preserve">idx_holdings_cusip</w:t>
            </w:r>
          </w:p>
        </w:tc>
        <w:tc>
          <w:tcPr>
            <w:tcW w:type="dxa" w:w="3730"/>
            <w:tcMar>
              <w:top w:type="dxa" w:w="80"/>
              <w:left w:type="dxa" w:w="100"/>
              <w:bottom w:type="dxa" w:w="80"/>
              <w:right w:type="dxa" w:w="100"/>
            </w:tcMar>
          </w:tcPr>
          <w:p>
            <w:r>
              <w:rPr>
                <w:sz w:val="20"/>
                <w:szCs w:val="20"/>
              </w:rPr>
              <w:t xml:space="preserve">(cusip, report_month)</w:t>
            </w:r>
          </w:p>
        </w:tc>
      </w:tr>
      <w:tr>
        <w:tc>
          <w:tcPr>
            <w:tcW w:type="dxa" w:w="2520"/>
            <w:tcMar>
              <w:top w:type="dxa" w:w="80"/>
              <w:left w:type="dxa" w:w="100"/>
              <w:bottom w:type="dxa" w:w="80"/>
              <w:right w:type="dxa" w:w="100"/>
            </w:tcMar>
          </w:tcPr>
          <w:p>
            <w:r>
              <w:rPr>
                <w:sz w:val="20"/>
                <w:szCs w:val="20"/>
              </w:rPr>
              <w:t xml:space="preserve">fund_holdings_monthly</w:t>
            </w:r>
          </w:p>
        </w:tc>
        <w:tc>
          <w:tcPr>
            <w:tcW w:type="dxa" w:w="3830"/>
            <w:tcMar>
              <w:top w:type="dxa" w:w="80"/>
              <w:left w:type="dxa" w:w="100"/>
              <w:bottom w:type="dxa" w:w="80"/>
              <w:right w:type="dxa" w:w="100"/>
            </w:tcMar>
          </w:tcPr>
          <w:p>
            <w:r>
              <w:rPr>
                <w:sz w:val="20"/>
                <w:szCs w:val="20"/>
              </w:rPr>
              <w:t xml:space="preserve">idx_holdings_security</w:t>
            </w:r>
          </w:p>
        </w:tc>
        <w:tc>
          <w:tcPr>
            <w:tcW w:type="dxa" w:w="3730"/>
            <w:tcMar>
              <w:top w:type="dxa" w:w="80"/>
              <w:left w:type="dxa" w:w="100"/>
              <w:bottom w:type="dxa" w:w="80"/>
              <w:right w:type="dxa" w:w="100"/>
            </w:tcMar>
          </w:tcPr>
          <w:p>
            <w:r>
              <w:rPr>
                <w:sz w:val="20"/>
                <w:szCs w:val="20"/>
              </w:rPr>
              <w:t xml:space="preserve">(security_ticker, report_month)</w:t>
            </w:r>
          </w:p>
        </w:tc>
      </w:tr>
      <w:tr>
        <w:tc>
          <w:tcPr>
            <w:tcW w:type="dxa" w:w="2520"/>
            <w:tcMar>
              <w:top w:type="dxa" w:w="80"/>
              <w:left w:type="dxa" w:w="100"/>
              <w:bottom w:type="dxa" w:w="80"/>
              <w:right w:type="dxa" w:w="100"/>
            </w:tcMar>
          </w:tcPr>
          <w:p>
            <w:r>
              <w:rPr>
                <w:sz w:val="20"/>
                <w:szCs w:val="20"/>
              </w:rPr>
              <w:t xml:space="preserve">fund_holdings_monthly</w:t>
            </w:r>
          </w:p>
        </w:tc>
        <w:tc>
          <w:tcPr>
            <w:tcW w:type="dxa" w:w="3830"/>
            <w:tcMar>
              <w:top w:type="dxa" w:w="80"/>
              <w:left w:type="dxa" w:w="100"/>
              <w:bottom w:type="dxa" w:w="80"/>
              <w:right w:type="dxa" w:w="100"/>
            </w:tcMar>
          </w:tcPr>
          <w:p>
            <w:r>
              <w:rPr>
                <w:sz w:val="20"/>
                <w:szCs w:val="20"/>
              </w:rPr>
              <w:t xml:space="preserve">idx_holdings_status_series_month</w:t>
            </w:r>
          </w:p>
        </w:tc>
        <w:tc>
          <w:tcPr>
            <w:tcW w:type="dxa" w:w="3730"/>
            <w:tcMar>
              <w:top w:type="dxa" w:w="80"/>
              <w:left w:type="dxa" w:w="100"/>
              <w:bottom w:type="dxa" w:w="80"/>
              <w:right w:type="dxa" w:w="100"/>
            </w:tcMar>
          </w:tcPr>
          <w:p>
            <w:r>
              <w:rPr>
                <w:sz w:val="20"/>
                <w:szCs w:val="20"/>
              </w:rPr>
              <w:t xml:space="preserve">(snapshot_status, series_id, report_month)</w:t>
            </w:r>
          </w:p>
        </w:tc>
      </w:tr>
      <w:tr>
        <w:tc>
          <w:tcPr>
            <w:tcW w:type="dxa" w:w="2520"/>
            <w:tcMar>
              <w:top w:type="dxa" w:w="80"/>
              <w:left w:type="dxa" w:w="100"/>
              <w:bottom w:type="dxa" w:w="80"/>
              <w:right w:type="dxa" w:w="100"/>
            </w:tcMar>
          </w:tcPr>
          <w:p>
            <w:r>
              <w:rPr>
                <w:sz w:val="20"/>
                <w:szCs w:val="20"/>
              </w:rPr>
              <w:t xml:space="preserve">fund_holdings_monthly</w:t>
            </w:r>
          </w:p>
        </w:tc>
        <w:tc>
          <w:tcPr>
            <w:tcW w:type="dxa" w:w="3830"/>
            <w:tcMar>
              <w:top w:type="dxa" w:w="80"/>
              <w:left w:type="dxa" w:w="100"/>
              <w:bottom w:type="dxa" w:w="80"/>
              <w:right w:type="dxa" w:w="100"/>
            </w:tcMar>
          </w:tcPr>
          <w:p>
            <w:r>
              <w:rPr>
                <w:sz w:val="20"/>
                <w:szCs w:val="20"/>
              </w:rPr>
              <w:t xml:space="preserve">idx_holdings_security_name</w:t>
            </w:r>
          </w:p>
        </w:tc>
        <w:tc>
          <w:tcPr>
            <w:tcW w:type="dxa" w:w="3730"/>
            <w:tcMar>
              <w:top w:type="dxa" w:w="80"/>
              <w:left w:type="dxa" w:w="100"/>
              <w:bottom w:type="dxa" w:w="80"/>
              <w:right w:type="dxa" w:w="100"/>
            </w:tcMar>
          </w:tcPr>
          <w:p>
            <w:r>
              <w:rPr>
                <w:sz w:val="20"/>
                <w:szCs w:val="20"/>
              </w:rPr>
              <w:t xml:space="preserve">(UPPER(TRIM(security_name)))</w:t>
            </w:r>
          </w:p>
        </w:tc>
      </w:tr>
      <w:tr>
        <w:tc>
          <w:tcPr>
            <w:tcW w:type="dxa" w:w="2520"/>
            <w:tcMar>
              <w:top w:type="dxa" w:w="80"/>
              <w:left w:type="dxa" w:w="100"/>
              <w:bottom w:type="dxa" w:w="80"/>
              <w:right w:type="dxa" w:w="100"/>
            </w:tcMar>
          </w:tcPr>
          <w:p>
            <w:r>
              <w:rPr>
                <w:sz w:val="20"/>
                <w:szCs w:val="20"/>
              </w:rPr>
              <w:t xml:space="preserve">fund_holdings_monthly</w:t>
            </w:r>
          </w:p>
        </w:tc>
        <w:tc>
          <w:tcPr>
            <w:tcW w:type="dxa" w:w="3830"/>
            <w:tcMar>
              <w:top w:type="dxa" w:w="80"/>
              <w:left w:type="dxa" w:w="100"/>
              <w:bottom w:type="dxa" w:w="80"/>
              <w:right w:type="dxa" w:w="100"/>
            </w:tcMar>
          </w:tcPr>
          <w:p>
            <w:r>
              <w:rPr>
                <w:sz w:val="20"/>
                <w:szCs w:val="20"/>
              </w:rPr>
              <w:t xml:space="preserve">idx_fhm_isin</w:t>
            </w:r>
          </w:p>
        </w:tc>
        <w:tc>
          <w:tcPr>
            <w:tcW w:type="dxa" w:w="3730"/>
            <w:tcMar>
              <w:top w:type="dxa" w:w="80"/>
              <w:left w:type="dxa" w:w="100"/>
              <w:bottom w:type="dxa" w:w="80"/>
              <w:right w:type="dxa" w:w="100"/>
            </w:tcMar>
          </w:tcPr>
          <w:p>
            <w:r>
              <w:rPr>
                <w:sz w:val="20"/>
                <w:szCs w:val="20"/>
              </w:rPr>
              <w:t xml:space="preserve">(isin) WHERE isin IS NOT NULL — added 2026-06-17</w:t>
            </w:r>
          </w:p>
        </w:tc>
      </w:tr>
      <w:tr>
        <w:tc>
          <w:tcPr>
            <w:tcW w:type="dxa" w:w="2520"/>
            <w:tcMar>
              <w:top w:type="dxa" w:w="80"/>
              <w:left w:type="dxa" w:w="100"/>
              <w:bottom w:type="dxa" w:w="80"/>
              <w:right w:type="dxa" w:w="100"/>
            </w:tcMar>
          </w:tcPr>
          <w:p>
            <w:r>
              <w:rPr>
                <w:sz w:val="20"/>
                <w:szCs w:val="20"/>
              </w:rPr>
              <w:t xml:space="preserve">fund_snapshot_monthly</w:t>
            </w:r>
          </w:p>
        </w:tc>
        <w:tc>
          <w:tcPr>
            <w:tcW w:type="dxa" w:w="3830"/>
            <w:tcMar>
              <w:top w:type="dxa" w:w="80"/>
              <w:left w:type="dxa" w:w="100"/>
              <w:bottom w:type="dxa" w:w="80"/>
              <w:right w:type="dxa" w:w="100"/>
            </w:tcMar>
          </w:tcPr>
          <w:p>
            <w:r>
              <w:rPr>
                <w:sz w:val="20"/>
                <w:szCs w:val="20"/>
              </w:rPr>
              <w:t xml:space="preserve">idx_snapshot_series</w:t>
            </w:r>
          </w:p>
        </w:tc>
        <w:tc>
          <w:tcPr>
            <w:tcW w:type="dxa" w:w="3730"/>
            <w:tcMar>
              <w:top w:type="dxa" w:w="80"/>
              <w:left w:type="dxa" w:w="100"/>
              <w:bottom w:type="dxa" w:w="80"/>
              <w:right w:type="dxa" w:w="100"/>
            </w:tcMar>
          </w:tcPr>
          <w:p>
            <w:r>
              <w:rPr>
                <w:sz w:val="20"/>
                <w:szCs w:val="20"/>
              </w:rPr>
              <w:t xml:space="preserve">(series_id)</w:t>
            </w:r>
          </w:p>
        </w:tc>
      </w:tr>
      <w:tr>
        <w:tc>
          <w:tcPr>
            <w:tcW w:type="dxa" w:w="2520"/>
            <w:tcMar>
              <w:top w:type="dxa" w:w="80"/>
              <w:left w:type="dxa" w:w="100"/>
              <w:bottom w:type="dxa" w:w="80"/>
              <w:right w:type="dxa" w:w="100"/>
            </w:tcMar>
          </w:tcPr>
          <w:p>
            <w:r>
              <w:rPr>
                <w:sz w:val="20"/>
                <w:szCs w:val="20"/>
              </w:rPr>
              <w:t xml:space="preserve">universe_changes_monthly</w:t>
            </w:r>
          </w:p>
        </w:tc>
        <w:tc>
          <w:tcPr>
            <w:tcW w:type="dxa" w:w="3830"/>
            <w:tcMar>
              <w:top w:type="dxa" w:w="80"/>
              <w:left w:type="dxa" w:w="100"/>
              <w:bottom w:type="dxa" w:w="80"/>
              <w:right w:type="dxa" w:w="100"/>
            </w:tcMar>
          </w:tcPr>
          <w:p>
            <w:r>
              <w:rPr>
                <w:sz w:val="20"/>
                <w:szCs w:val="20"/>
              </w:rPr>
              <w:t xml:space="preserve">idx_universe_changes_lookup</w:t>
            </w:r>
          </w:p>
        </w:tc>
        <w:tc>
          <w:tcPr>
            <w:tcW w:type="dxa" w:w="3730"/>
            <w:tcMar>
              <w:top w:type="dxa" w:w="80"/>
              <w:left w:type="dxa" w:w="100"/>
              <w:bottom w:type="dxa" w:w="80"/>
              <w:right w:type="dxa" w:w="100"/>
            </w:tcMar>
          </w:tcPr>
          <w:p>
            <w:r>
              <w:rPr>
                <w:sz w:val="20"/>
                <w:szCs w:val="20"/>
              </w:rPr>
              <w:t xml:space="preserve">(current_month, change_type)</w:t>
            </w:r>
          </w:p>
        </w:tc>
      </w:tr>
      <w:tr>
        <w:tc>
          <w:tcPr>
            <w:tcW w:type="dxa" w:w="2520"/>
            <w:tcMar>
              <w:top w:type="dxa" w:w="80"/>
              <w:left w:type="dxa" w:w="100"/>
              <w:bottom w:type="dxa" w:w="80"/>
              <w:right w:type="dxa" w:w="100"/>
            </w:tcMar>
          </w:tcPr>
          <w:p>
            <w:r>
              <w:rPr>
                <w:sz w:val="20"/>
                <w:szCs w:val="20"/>
              </w:rPr>
              <w:t xml:space="preserve">universe_changes_monthly</w:t>
            </w:r>
          </w:p>
        </w:tc>
        <w:tc>
          <w:tcPr>
            <w:tcW w:type="dxa" w:w="3830"/>
            <w:tcMar>
              <w:top w:type="dxa" w:w="80"/>
              <w:left w:type="dxa" w:w="100"/>
              <w:bottom w:type="dxa" w:w="80"/>
              <w:right w:type="dxa" w:w="100"/>
            </w:tcMar>
          </w:tcPr>
          <w:p>
            <w:r>
              <w:rPr>
                <w:sz w:val="20"/>
                <w:szCs w:val="20"/>
              </w:rPr>
              <w:t xml:space="preserve">idx_universe_changes_computed</w:t>
            </w:r>
          </w:p>
        </w:tc>
        <w:tc>
          <w:tcPr>
            <w:tcW w:type="dxa" w:w="3730"/>
            <w:tcMar>
              <w:top w:type="dxa" w:w="80"/>
              <w:left w:type="dxa" w:w="100"/>
              <w:bottom w:type="dxa" w:w="80"/>
              <w:right w:type="dxa" w:w="100"/>
            </w:tcMar>
          </w:tcPr>
          <w:p>
            <w:r>
              <w:rPr>
                <w:sz w:val="20"/>
                <w:szCs w:val="20"/>
              </w:rPr>
              <w:t xml:space="preserve">(computed_at)</w:t>
            </w:r>
          </w:p>
        </w:tc>
      </w:tr>
      <w:tr>
        <w:tc>
          <w:tcPr>
            <w:tcW w:type="dxa" w:w="2520"/>
            <w:tcMar>
              <w:top w:type="dxa" w:w="80"/>
              <w:left w:type="dxa" w:w="100"/>
              <w:bottom w:type="dxa" w:w="80"/>
              <w:right w:type="dxa" w:w="100"/>
            </w:tcMar>
          </w:tcPr>
          <w:p>
            <w:r>
              <w:rPr>
                <w:sz w:val="20"/>
                <w:szCs w:val="20"/>
              </w:rPr>
              <w:t xml:space="preserve">etf_master</w:t>
            </w:r>
          </w:p>
        </w:tc>
        <w:tc>
          <w:tcPr>
            <w:tcW w:type="dxa" w:w="3830"/>
            <w:tcMar>
              <w:top w:type="dxa" w:w="80"/>
              <w:left w:type="dxa" w:w="100"/>
              <w:bottom w:type="dxa" w:w="80"/>
              <w:right w:type="dxa" w:w="100"/>
            </w:tcMar>
          </w:tcPr>
          <w:p>
            <w:r>
              <w:rPr>
                <w:sz w:val="20"/>
                <w:szCs w:val="20"/>
              </w:rPr>
              <w:t xml:space="preserve">idx_etf_master_coverage</w:t>
            </w:r>
          </w:p>
        </w:tc>
        <w:tc>
          <w:tcPr>
            <w:tcW w:type="dxa" w:w="3730"/>
            <w:tcMar>
              <w:top w:type="dxa" w:w="80"/>
              <w:left w:type="dxa" w:w="100"/>
              <w:bottom w:type="dxa" w:w="80"/>
              <w:right w:type="dxa" w:w="100"/>
            </w:tcMar>
          </w:tcPr>
          <w:p>
            <w:r>
              <w:rPr>
                <w:sz w:val="20"/>
                <w:szCs w:val="20"/>
              </w:rPr>
              <w:t xml:space="preserve">(coverage_status)</w:t>
            </w:r>
          </w:p>
        </w:tc>
      </w:tr>
      <w:tr>
        <w:tc>
          <w:tcPr>
            <w:tcW w:type="dxa" w:w="2520"/>
            <w:tcMar>
              <w:top w:type="dxa" w:w="80"/>
              <w:left w:type="dxa" w:w="100"/>
              <w:bottom w:type="dxa" w:w="80"/>
              <w:right w:type="dxa" w:w="100"/>
            </w:tcMar>
          </w:tcPr>
          <w:p>
            <w:r>
              <w:rPr>
                <w:sz w:val="20"/>
                <w:szCs w:val="20"/>
              </w:rPr>
              <w:t xml:space="preserve">etf_master</w:t>
            </w:r>
          </w:p>
        </w:tc>
        <w:tc>
          <w:tcPr>
            <w:tcW w:type="dxa" w:w="3830"/>
            <w:tcMar>
              <w:top w:type="dxa" w:w="80"/>
              <w:left w:type="dxa" w:w="100"/>
              <w:bottom w:type="dxa" w:w="80"/>
              <w:right w:type="dxa" w:w="100"/>
            </w:tcMar>
          </w:tcPr>
          <w:p>
            <w:r>
              <w:rPr>
                <w:sz w:val="20"/>
                <w:szCs w:val="20"/>
              </w:rPr>
              <w:t xml:space="preserve">idx_etf_master_issuer</w:t>
            </w:r>
          </w:p>
        </w:tc>
        <w:tc>
          <w:tcPr>
            <w:tcW w:type="dxa" w:w="3730"/>
            <w:tcMar>
              <w:top w:type="dxa" w:w="80"/>
              <w:left w:type="dxa" w:w="100"/>
              <w:bottom w:type="dxa" w:w="80"/>
              <w:right w:type="dxa" w:w="100"/>
            </w:tcMar>
          </w:tcPr>
          <w:p>
            <w:r>
              <w:rPr>
                <w:sz w:val="20"/>
                <w:szCs w:val="20"/>
              </w:rPr>
              <w:t xml:space="preserve">(issuer)</w:t>
            </w:r>
          </w:p>
        </w:tc>
      </w:tr>
      <w:tr>
        <w:tc>
          <w:tcPr>
            <w:tcW w:type="dxa" w:w="2520"/>
            <w:tcMar>
              <w:top w:type="dxa" w:w="80"/>
              <w:left w:type="dxa" w:w="100"/>
              <w:bottom w:type="dxa" w:w="80"/>
              <w:right w:type="dxa" w:w="100"/>
            </w:tcMar>
          </w:tcPr>
          <w:p>
            <w:r>
              <w:rPr>
                <w:sz w:val="20"/>
                <w:szCs w:val="20"/>
              </w:rPr>
              <w:t xml:space="preserve">etf_master</w:t>
            </w:r>
          </w:p>
        </w:tc>
        <w:tc>
          <w:tcPr>
            <w:tcW w:type="dxa" w:w="3830"/>
            <w:tcMar>
              <w:top w:type="dxa" w:w="80"/>
              <w:left w:type="dxa" w:w="100"/>
              <w:bottom w:type="dxa" w:w="80"/>
              <w:right w:type="dxa" w:w="100"/>
            </w:tcMar>
          </w:tcPr>
          <w:p>
            <w:r>
              <w:rPr>
                <w:sz w:val="20"/>
                <w:szCs w:val="20"/>
              </w:rPr>
              <w:t xml:space="preserve">idx_etf_master_nport</w:t>
            </w:r>
          </w:p>
        </w:tc>
        <w:tc>
          <w:tcPr>
            <w:tcW w:type="dxa" w:w="3730"/>
            <w:tcMar>
              <w:top w:type="dxa" w:w="80"/>
              <w:left w:type="dxa" w:w="100"/>
              <w:bottom w:type="dxa" w:w="80"/>
              <w:right w:type="dxa" w:w="100"/>
            </w:tcMar>
          </w:tcPr>
          <w:p>
            <w:r>
              <w:rPr>
                <w:sz w:val="20"/>
                <w:szCs w:val="20"/>
              </w:rPr>
              <w:t xml:space="preserve">(has_nport)</w:t>
            </w:r>
          </w:p>
        </w:tc>
      </w:tr>
      <w:tr>
        <w:tc>
          <w:tcPr>
            <w:tcW w:type="dxa" w:w="2520"/>
            <w:tcMar>
              <w:top w:type="dxa" w:w="80"/>
              <w:left w:type="dxa" w:w="100"/>
              <w:bottom w:type="dxa" w:w="80"/>
              <w:right w:type="dxa" w:w="100"/>
            </w:tcMar>
          </w:tcPr>
          <w:p>
            <w:r>
              <w:rPr>
                <w:sz w:val="20"/>
                <w:szCs w:val="20"/>
              </w:rPr>
              <w:t xml:space="preserve">etf_aliases</w:t>
            </w:r>
          </w:p>
        </w:tc>
        <w:tc>
          <w:tcPr>
            <w:tcW w:type="dxa" w:w="3830"/>
            <w:tcMar>
              <w:top w:type="dxa" w:w="80"/>
              <w:left w:type="dxa" w:w="100"/>
              <w:bottom w:type="dxa" w:w="80"/>
              <w:right w:type="dxa" w:w="100"/>
            </w:tcMar>
          </w:tcPr>
          <w:p>
            <w:r>
              <w:rPr>
                <w:sz w:val="20"/>
                <w:szCs w:val="20"/>
              </w:rPr>
              <w:t xml:space="preserve">idx_etf_aliases_alias</w:t>
            </w:r>
          </w:p>
        </w:tc>
        <w:tc>
          <w:tcPr>
            <w:tcW w:type="dxa" w:w="3730"/>
            <w:tcMar>
              <w:top w:type="dxa" w:w="80"/>
              <w:left w:type="dxa" w:w="100"/>
              <w:bottom w:type="dxa" w:w="80"/>
              <w:right w:type="dxa" w:w="100"/>
            </w:tcMar>
          </w:tcPr>
          <w:p>
            <w:r>
              <w:rPr>
                <w:sz w:val="20"/>
                <w:szCs w:val="20"/>
              </w:rPr>
              <w:t xml:space="preserve">(alias)</w:t>
            </w:r>
          </w:p>
        </w:tc>
      </w:tr>
    </w:tbl>
    <w:p>
      <w:pPr>
        <w:pStyle w:val="Heading2"/>
        <w:spacing w:after="120" w:before="240"/>
      </w:pPr>
      <w:r>
        <w:rPr>
          <w:b/>
          <w:bCs/>
          <w:sz w:val="24"/>
          <w:szCs w:val="24"/>
        </w:rPr>
        <w:t xml:space="preserve">4.2 Entities Domain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830"/>
        <w:gridCol w:w="3730"/>
      </w:tblGrid>
      <w:tr>
        <w:trPr>
          <w:tblHeader/>
        </w:trPr>
        <w:tc>
          <w:tcPr>
            <w:tcW w:type="dxa" w:w="2520"/>
            <w:shd w:fill="D9E2F3" w:val="clear"/>
            <w:tcMar>
              <w:top w:type="dxa" w:w="80"/>
              <w:left w:type="dxa" w:w="100"/>
              <w:bottom w:type="dxa" w:w="80"/>
              <w:right w:type="dxa" w:w="100"/>
            </w:tcMar>
          </w:tcPr>
          <w:p>
            <w:r>
              <w:rPr>
                <w:b/>
                <w:bCs/>
                <w:sz w:val="20"/>
                <w:szCs w:val="20"/>
              </w:rPr>
              <w:t xml:space="preserve">Table</w:t>
            </w:r>
          </w:p>
        </w:tc>
        <w:tc>
          <w:tcPr>
            <w:tcW w:type="dxa" w:w="3830"/>
            <w:shd w:fill="D9E2F3" w:val="clear"/>
            <w:tcMar>
              <w:top w:type="dxa" w:w="80"/>
              <w:left w:type="dxa" w:w="100"/>
              <w:bottom w:type="dxa" w:w="80"/>
              <w:right w:type="dxa" w:w="100"/>
            </w:tcMar>
          </w:tcPr>
          <w:p>
            <w:r>
              <w:rPr>
                <w:b/>
                <w:bCs/>
                <w:sz w:val="20"/>
                <w:szCs w:val="20"/>
              </w:rPr>
              <w:t xml:space="preserve">Index</w:t>
            </w:r>
          </w:p>
        </w:tc>
        <w:tc>
          <w:tcPr>
            <w:tcW w:type="dxa" w:w="3730"/>
            <w:shd w:fill="D9E2F3" w:val="clear"/>
            <w:tcMar>
              <w:top w:type="dxa" w:w="80"/>
              <w:left w:type="dxa" w:w="100"/>
              <w:bottom w:type="dxa" w:w="80"/>
              <w:right w:type="dxa" w:w="100"/>
            </w:tcMar>
          </w:tcPr>
          <w:p>
            <w:r>
              <w:rPr>
                <w:b/>
                <w:bCs/>
                <w:sz w:val="20"/>
                <w:szCs w:val="20"/>
              </w:rPr>
              <w:t xml:space="preserve">Columns</w:t>
            </w:r>
          </w:p>
        </w:tc>
      </w:tr>
      <w:tr>
        <w:tc>
          <w:tcPr>
            <w:tcW w:type="dxa" w:w="2520"/>
            <w:tcMar>
              <w:top w:type="dxa" w:w="80"/>
              <w:left w:type="dxa" w:w="100"/>
              <w:bottom w:type="dxa" w:w="80"/>
              <w:right w:type="dxa" w:w="100"/>
            </w:tcMar>
          </w:tcPr>
          <w:p>
            <w:r>
              <w:rPr>
                <w:sz w:val="20"/>
                <w:szCs w:val="20"/>
              </w:rPr>
              <w:t xml:space="preserve">entity_master</w:t>
            </w:r>
          </w:p>
        </w:tc>
        <w:tc>
          <w:tcPr>
            <w:tcW w:type="dxa" w:w="3830"/>
            <w:tcMar>
              <w:top w:type="dxa" w:w="80"/>
              <w:left w:type="dxa" w:w="100"/>
              <w:bottom w:type="dxa" w:w="80"/>
              <w:right w:type="dxa" w:w="100"/>
            </w:tcMar>
          </w:tcPr>
          <w:p>
            <w:r>
              <w:rPr>
                <w:sz w:val="20"/>
                <w:szCs w:val="20"/>
              </w:rPr>
              <w:t xml:space="preserve">idx_entity_master_lei</w:t>
            </w:r>
          </w:p>
        </w:tc>
        <w:tc>
          <w:tcPr>
            <w:tcW w:type="dxa" w:w="3730"/>
            <w:tcMar>
              <w:top w:type="dxa" w:w="80"/>
              <w:left w:type="dxa" w:w="100"/>
              <w:bottom w:type="dxa" w:w="80"/>
              <w:right w:type="dxa" w:w="100"/>
            </w:tcMar>
          </w:tcPr>
          <w:p>
            <w:r>
              <w:rPr>
                <w:sz w:val="20"/>
                <w:szCs w:val="20"/>
              </w:rPr>
              <w:t xml:space="preserve">(lei)</w:t>
            </w:r>
          </w:p>
        </w:tc>
      </w:tr>
      <w:tr>
        <w:tc>
          <w:tcPr>
            <w:tcW w:type="dxa" w:w="2520"/>
            <w:tcMar>
              <w:top w:type="dxa" w:w="80"/>
              <w:left w:type="dxa" w:w="100"/>
              <w:bottom w:type="dxa" w:w="80"/>
              <w:right w:type="dxa" w:w="100"/>
            </w:tcMar>
          </w:tcPr>
          <w:p>
            <w:r>
              <w:rPr>
                <w:sz w:val="20"/>
                <w:szCs w:val="20"/>
              </w:rPr>
              <w:t xml:space="preserve">entity_master</w:t>
            </w:r>
          </w:p>
        </w:tc>
        <w:tc>
          <w:tcPr>
            <w:tcW w:type="dxa" w:w="3830"/>
            <w:tcMar>
              <w:top w:type="dxa" w:w="80"/>
              <w:left w:type="dxa" w:w="100"/>
              <w:bottom w:type="dxa" w:w="80"/>
              <w:right w:type="dxa" w:w="100"/>
            </w:tcMar>
          </w:tcPr>
          <w:p>
            <w:r>
              <w:rPr>
                <w:sz w:val="20"/>
                <w:szCs w:val="20"/>
              </w:rPr>
              <w:t xml:space="preserve">idx_entity_master_status</w:t>
            </w:r>
          </w:p>
        </w:tc>
        <w:tc>
          <w:tcPr>
            <w:tcW w:type="dxa" w:w="3730"/>
            <w:tcMar>
              <w:top w:type="dxa" w:w="80"/>
              <w:left w:type="dxa" w:w="100"/>
              <w:bottom w:type="dxa" w:w="80"/>
              <w:right w:type="dxa" w:w="100"/>
            </w:tcMar>
          </w:tcPr>
          <w:p>
            <w:r>
              <w:rPr>
                <w:sz w:val="20"/>
                <w:szCs w:val="20"/>
              </w:rPr>
              <w:t xml:space="preserve">(entity_status)</w:t>
            </w:r>
          </w:p>
        </w:tc>
      </w:tr>
      <w:tr>
        <w:tc>
          <w:tcPr>
            <w:tcW w:type="dxa" w:w="2520"/>
            <w:tcMar>
              <w:top w:type="dxa" w:w="80"/>
              <w:left w:type="dxa" w:w="100"/>
              <w:bottom w:type="dxa" w:w="80"/>
              <w:right w:type="dxa" w:w="100"/>
            </w:tcMar>
          </w:tcPr>
          <w:p>
            <w:r>
              <w:rPr>
                <w:sz w:val="20"/>
                <w:szCs w:val="20"/>
              </w:rPr>
              <w:t xml:space="preserve">entity_master</w:t>
            </w:r>
          </w:p>
        </w:tc>
        <w:tc>
          <w:tcPr>
            <w:tcW w:type="dxa" w:w="3830"/>
            <w:tcMar>
              <w:top w:type="dxa" w:w="80"/>
              <w:left w:type="dxa" w:w="100"/>
              <w:bottom w:type="dxa" w:w="80"/>
              <w:right w:type="dxa" w:w="100"/>
            </w:tcMar>
          </w:tcPr>
          <w:p>
            <w:r>
              <w:rPr>
                <w:sz w:val="20"/>
                <w:szCs w:val="20"/>
              </w:rPr>
              <w:t xml:space="preserve">idx_entity_master_jurisdiction</w:t>
            </w:r>
          </w:p>
        </w:tc>
        <w:tc>
          <w:tcPr>
            <w:tcW w:type="dxa" w:w="3730"/>
            <w:tcMar>
              <w:top w:type="dxa" w:w="80"/>
              <w:left w:type="dxa" w:w="100"/>
              <w:bottom w:type="dxa" w:w="80"/>
              <w:right w:type="dxa" w:w="100"/>
            </w:tcMar>
          </w:tcPr>
          <w:p>
            <w:r>
              <w:rPr>
                <w:sz w:val="20"/>
                <w:szCs w:val="20"/>
              </w:rPr>
              <w:t xml:space="preserve">(legal_jurisdiction)</w:t>
            </w:r>
          </w:p>
        </w:tc>
      </w:tr>
      <w:tr>
        <w:tc>
          <w:tcPr>
            <w:tcW w:type="dxa" w:w="2520"/>
            <w:tcMar>
              <w:top w:type="dxa" w:w="80"/>
              <w:left w:type="dxa" w:w="100"/>
              <w:bottom w:type="dxa" w:w="80"/>
              <w:right w:type="dxa" w:w="100"/>
            </w:tcMar>
          </w:tcPr>
          <w:p>
            <w:r>
              <w:rPr>
                <w:sz w:val="20"/>
                <w:szCs w:val="20"/>
              </w:rPr>
              <w:t xml:space="preserve">entity_master</w:t>
            </w:r>
          </w:p>
        </w:tc>
        <w:tc>
          <w:tcPr>
            <w:tcW w:type="dxa" w:w="3830"/>
            <w:tcMar>
              <w:top w:type="dxa" w:w="80"/>
              <w:left w:type="dxa" w:w="100"/>
              <w:bottom w:type="dxa" w:w="80"/>
              <w:right w:type="dxa" w:w="100"/>
            </w:tcMar>
          </w:tcPr>
          <w:p>
            <w:r>
              <w:rPr>
                <w:sz w:val="20"/>
                <w:szCs w:val="20"/>
              </w:rPr>
              <w:t xml:space="preserve">idx_entity_master_direct_parent</w:t>
            </w:r>
          </w:p>
        </w:tc>
        <w:tc>
          <w:tcPr>
            <w:tcW w:type="dxa" w:w="3730"/>
            <w:tcMar>
              <w:top w:type="dxa" w:w="80"/>
              <w:left w:type="dxa" w:w="100"/>
              <w:bottom w:type="dxa" w:w="80"/>
              <w:right w:type="dxa" w:w="100"/>
            </w:tcMar>
          </w:tcPr>
          <w:p>
            <w:r>
              <w:rPr>
                <w:sz w:val="20"/>
                <w:szCs w:val="20"/>
              </w:rPr>
              <w:t xml:space="preserve">(direct_parent_lei)</w:t>
            </w:r>
          </w:p>
        </w:tc>
      </w:tr>
      <w:tr>
        <w:tc>
          <w:tcPr>
            <w:tcW w:type="dxa" w:w="2520"/>
            <w:tcMar>
              <w:top w:type="dxa" w:w="80"/>
              <w:left w:type="dxa" w:w="100"/>
              <w:bottom w:type="dxa" w:w="80"/>
              <w:right w:type="dxa" w:w="100"/>
            </w:tcMar>
          </w:tcPr>
          <w:p>
            <w:r>
              <w:rPr>
                <w:sz w:val="20"/>
                <w:szCs w:val="20"/>
              </w:rPr>
              <w:t xml:space="preserve">entity_master</w:t>
            </w:r>
          </w:p>
        </w:tc>
        <w:tc>
          <w:tcPr>
            <w:tcW w:type="dxa" w:w="3830"/>
            <w:tcMar>
              <w:top w:type="dxa" w:w="80"/>
              <w:left w:type="dxa" w:w="100"/>
              <w:bottom w:type="dxa" w:w="80"/>
              <w:right w:type="dxa" w:w="100"/>
            </w:tcMar>
          </w:tcPr>
          <w:p>
            <w:r>
              <w:rPr>
                <w:sz w:val="20"/>
                <w:szCs w:val="20"/>
              </w:rPr>
              <w:t xml:space="preserve">idx_entity_master_ultimate_parent</w:t>
            </w:r>
          </w:p>
        </w:tc>
        <w:tc>
          <w:tcPr>
            <w:tcW w:type="dxa" w:w="3730"/>
            <w:tcMar>
              <w:top w:type="dxa" w:w="80"/>
              <w:left w:type="dxa" w:w="100"/>
              <w:bottom w:type="dxa" w:w="80"/>
              <w:right w:type="dxa" w:w="100"/>
            </w:tcMar>
          </w:tcPr>
          <w:p>
            <w:r>
              <w:rPr>
                <w:sz w:val="20"/>
                <w:szCs w:val="20"/>
              </w:rPr>
              <w:t xml:space="preserve">(ultimate_parent_lei)</w:t>
            </w:r>
          </w:p>
        </w:tc>
      </w:tr>
      <w:tr>
        <w:tc>
          <w:tcPr>
            <w:tcW w:type="dxa" w:w="2520"/>
            <w:tcMar>
              <w:top w:type="dxa" w:w="80"/>
              <w:left w:type="dxa" w:w="100"/>
              <w:bottom w:type="dxa" w:w="80"/>
              <w:right w:type="dxa" w:w="100"/>
            </w:tcMar>
          </w:tcPr>
          <w:p>
            <w:r>
              <w:rPr>
                <w:sz w:val="20"/>
                <w:szCs w:val="20"/>
              </w:rPr>
              <w:t xml:space="preserve">entity_master</w:t>
            </w:r>
          </w:p>
        </w:tc>
        <w:tc>
          <w:tcPr>
            <w:tcW w:type="dxa" w:w="3830"/>
            <w:tcMar>
              <w:top w:type="dxa" w:w="80"/>
              <w:left w:type="dxa" w:w="100"/>
              <w:bottom w:type="dxa" w:w="80"/>
              <w:right w:type="dxa" w:w="100"/>
            </w:tcMar>
          </w:tcPr>
          <w:p>
            <w:r>
              <w:rPr>
                <w:sz w:val="20"/>
                <w:szCs w:val="20"/>
              </w:rPr>
              <w:t xml:space="preserve">idx_entity_master_match_source</w:t>
            </w:r>
          </w:p>
        </w:tc>
        <w:tc>
          <w:tcPr>
            <w:tcW w:type="dxa" w:w="3730"/>
            <w:tcMar>
              <w:top w:type="dxa" w:w="80"/>
              <w:left w:type="dxa" w:w="100"/>
              <w:bottom w:type="dxa" w:w="80"/>
              <w:right w:type="dxa" w:w="100"/>
            </w:tcMar>
          </w:tcPr>
          <w:p>
            <w:r>
              <w:rPr>
                <w:sz w:val="20"/>
                <w:szCs w:val="20"/>
              </w:rPr>
              <w:t xml:space="preserve">(match_source)</w:t>
            </w:r>
          </w:p>
        </w:tc>
      </w:tr>
      <w:tr>
        <w:tc>
          <w:tcPr>
            <w:tcW w:type="dxa" w:w="2520"/>
            <w:tcMar>
              <w:top w:type="dxa" w:w="80"/>
              <w:left w:type="dxa" w:w="100"/>
              <w:bottom w:type="dxa" w:w="80"/>
              <w:right w:type="dxa" w:w="100"/>
            </w:tcMar>
          </w:tcPr>
          <w:p>
            <w:r>
              <w:rPr>
                <w:sz w:val="20"/>
                <w:szCs w:val="20"/>
              </w:rPr>
              <w:t xml:space="preserve">entity_isin_map</w:t>
            </w:r>
          </w:p>
        </w:tc>
        <w:tc>
          <w:tcPr>
            <w:tcW w:type="dxa" w:w="3830"/>
            <w:tcMar>
              <w:top w:type="dxa" w:w="80"/>
              <w:left w:type="dxa" w:w="100"/>
              <w:bottom w:type="dxa" w:w="80"/>
              <w:right w:type="dxa" w:w="100"/>
            </w:tcMar>
          </w:tcPr>
          <w:p>
            <w:r>
              <w:rPr>
                <w:sz w:val="20"/>
                <w:szCs w:val="20"/>
              </w:rPr>
              <w:t xml:space="preserve">idx_entity_isin_map_isin</w:t>
            </w:r>
          </w:p>
        </w:tc>
        <w:tc>
          <w:tcPr>
            <w:tcW w:type="dxa" w:w="3730"/>
            <w:tcMar>
              <w:top w:type="dxa" w:w="80"/>
              <w:left w:type="dxa" w:w="100"/>
              <w:bottom w:type="dxa" w:w="80"/>
              <w:right w:type="dxa" w:w="100"/>
            </w:tcMar>
          </w:tcPr>
          <w:p>
            <w:r>
              <w:rPr>
                <w:sz w:val="20"/>
                <w:szCs w:val="20"/>
              </w:rPr>
              <w:t xml:space="preserve">(isin)</w:t>
            </w:r>
          </w:p>
        </w:tc>
      </w:tr>
      <w:tr>
        <w:tc>
          <w:tcPr>
            <w:tcW w:type="dxa" w:w="2520"/>
            <w:tcMar>
              <w:top w:type="dxa" w:w="80"/>
              <w:left w:type="dxa" w:w="100"/>
              <w:bottom w:type="dxa" w:w="80"/>
              <w:right w:type="dxa" w:w="100"/>
            </w:tcMar>
          </w:tcPr>
          <w:p>
            <w:r>
              <w:rPr>
                <w:sz w:val="20"/>
                <w:szCs w:val="20"/>
              </w:rPr>
              <w:t xml:space="preserve">entity_isin_map</w:t>
            </w:r>
          </w:p>
        </w:tc>
        <w:tc>
          <w:tcPr>
            <w:tcW w:type="dxa" w:w="3830"/>
            <w:tcMar>
              <w:top w:type="dxa" w:w="80"/>
              <w:left w:type="dxa" w:w="100"/>
              <w:bottom w:type="dxa" w:w="80"/>
              <w:right w:type="dxa" w:w="100"/>
            </w:tcMar>
          </w:tcPr>
          <w:p>
            <w:r>
              <w:rPr>
                <w:sz w:val="20"/>
                <w:szCs w:val="20"/>
              </w:rPr>
              <w:t xml:space="preserve">idx_entity_isin_map_lei</w:t>
            </w:r>
          </w:p>
        </w:tc>
        <w:tc>
          <w:tcPr>
            <w:tcW w:type="dxa" w:w="3730"/>
            <w:tcMar>
              <w:top w:type="dxa" w:w="80"/>
              <w:left w:type="dxa" w:w="100"/>
              <w:bottom w:type="dxa" w:w="80"/>
              <w:right w:type="dxa" w:w="100"/>
            </w:tcMar>
          </w:tcPr>
          <w:p>
            <w:r>
              <w:rPr>
                <w:sz w:val="20"/>
                <w:szCs w:val="20"/>
              </w:rPr>
              <w:t xml:space="preserve">(lei)</w:t>
            </w:r>
          </w:p>
        </w:tc>
      </w:tr>
      <w:tr>
        <w:tc>
          <w:tcPr>
            <w:tcW w:type="dxa" w:w="2520"/>
            <w:tcMar>
              <w:top w:type="dxa" w:w="80"/>
              <w:left w:type="dxa" w:w="100"/>
              <w:bottom w:type="dxa" w:w="80"/>
              <w:right w:type="dxa" w:w="100"/>
            </w:tcMar>
          </w:tcPr>
          <w:p>
            <w:r>
              <w:rPr>
                <w:sz w:val="20"/>
                <w:szCs w:val="20"/>
              </w:rPr>
              <w:t xml:space="preserve">entity_isin_map</w:t>
            </w:r>
          </w:p>
        </w:tc>
        <w:tc>
          <w:tcPr>
            <w:tcW w:type="dxa" w:w="3830"/>
            <w:tcMar>
              <w:top w:type="dxa" w:w="80"/>
              <w:left w:type="dxa" w:w="100"/>
              <w:bottom w:type="dxa" w:w="80"/>
              <w:right w:type="dxa" w:w="100"/>
            </w:tcMar>
          </w:tcPr>
          <w:p>
            <w:r>
              <w:rPr>
                <w:sz w:val="20"/>
                <w:szCs w:val="20"/>
              </w:rPr>
              <w:t xml:space="preserve">idx_entity_isin_map_entity</w:t>
            </w:r>
          </w:p>
        </w:tc>
        <w:tc>
          <w:tcPr>
            <w:tcW w:type="dxa" w:w="3730"/>
            <w:tcMar>
              <w:top w:type="dxa" w:w="80"/>
              <w:left w:type="dxa" w:w="100"/>
              <w:bottom w:type="dxa" w:w="80"/>
              <w:right w:type="dxa" w:w="100"/>
            </w:tcMar>
          </w:tcPr>
          <w:p>
            <w:r>
              <w:rPr>
                <w:sz w:val="20"/>
                <w:szCs w:val="20"/>
              </w:rPr>
              <w:t xml:space="preserve">(entity_id)</w:t>
            </w:r>
          </w:p>
        </w:tc>
      </w:tr>
      <w:tr>
        <w:tc>
          <w:tcPr>
            <w:tcW w:type="dxa" w:w="2520"/>
            <w:tcMar>
              <w:top w:type="dxa" w:w="80"/>
              <w:left w:type="dxa" w:w="100"/>
              <w:bottom w:type="dxa" w:w="80"/>
              <w:right w:type="dxa" w:w="100"/>
            </w:tcMar>
          </w:tcPr>
          <w:p>
            <w:r>
              <w:rPr>
                <w:sz w:val="20"/>
                <w:szCs w:val="20"/>
              </w:rPr>
              <w:t xml:space="preserve">instrument_master</w:t>
            </w:r>
          </w:p>
        </w:tc>
        <w:tc>
          <w:tcPr>
            <w:tcW w:type="dxa" w:w="3830"/>
            <w:tcMar>
              <w:top w:type="dxa" w:w="80"/>
              <w:left w:type="dxa" w:w="100"/>
              <w:bottom w:type="dxa" w:w="80"/>
              <w:right w:type="dxa" w:w="100"/>
            </w:tcMar>
          </w:tcPr>
          <w:p>
            <w:r>
              <w:rPr>
                <w:sz w:val="20"/>
                <w:szCs w:val="20"/>
              </w:rPr>
              <w:t xml:space="preserve">idx_instrument_master_isin</w:t>
            </w:r>
          </w:p>
        </w:tc>
        <w:tc>
          <w:tcPr>
            <w:tcW w:type="dxa" w:w="3730"/>
            <w:tcMar>
              <w:top w:type="dxa" w:w="80"/>
              <w:left w:type="dxa" w:w="100"/>
              <w:bottom w:type="dxa" w:w="80"/>
              <w:right w:type="dxa" w:w="100"/>
            </w:tcMar>
          </w:tcPr>
          <w:p>
            <w:r>
              <w:rPr>
                <w:sz w:val="20"/>
                <w:szCs w:val="20"/>
              </w:rPr>
              <w:t xml:space="preserve">(isin)</w:t>
            </w:r>
          </w:p>
        </w:tc>
      </w:tr>
      <w:tr>
        <w:tc>
          <w:tcPr>
            <w:tcW w:type="dxa" w:w="2520"/>
            <w:tcMar>
              <w:top w:type="dxa" w:w="80"/>
              <w:left w:type="dxa" w:w="100"/>
              <w:bottom w:type="dxa" w:w="80"/>
              <w:right w:type="dxa" w:w="100"/>
            </w:tcMar>
          </w:tcPr>
          <w:p>
            <w:r>
              <w:rPr>
                <w:sz w:val="20"/>
                <w:szCs w:val="20"/>
              </w:rPr>
              <w:t xml:space="preserve">instrument_master</w:t>
            </w:r>
          </w:p>
        </w:tc>
        <w:tc>
          <w:tcPr>
            <w:tcW w:type="dxa" w:w="3830"/>
            <w:tcMar>
              <w:top w:type="dxa" w:w="80"/>
              <w:left w:type="dxa" w:w="100"/>
              <w:bottom w:type="dxa" w:w="80"/>
              <w:right w:type="dxa" w:w="100"/>
            </w:tcMar>
          </w:tcPr>
          <w:p>
            <w:r>
              <w:rPr>
                <w:sz w:val="20"/>
                <w:szCs w:val="20"/>
              </w:rPr>
              <w:t xml:space="preserve">idx_instrument_master_cusip_issuer</w:t>
            </w:r>
          </w:p>
        </w:tc>
        <w:tc>
          <w:tcPr>
            <w:tcW w:type="dxa" w:w="3730"/>
            <w:tcMar>
              <w:top w:type="dxa" w:w="80"/>
              <w:left w:type="dxa" w:w="100"/>
              <w:bottom w:type="dxa" w:w="80"/>
              <w:right w:type="dxa" w:w="100"/>
            </w:tcMar>
          </w:tcPr>
          <w:p>
            <w:r>
              <w:rPr>
                <w:sz w:val="20"/>
                <w:szCs w:val="20"/>
              </w:rPr>
              <w:t xml:space="preserve">(cusip_issuer_6)</w:t>
            </w:r>
          </w:p>
        </w:tc>
      </w:tr>
      <w:tr>
        <w:tc>
          <w:tcPr>
            <w:tcW w:type="dxa" w:w="2520"/>
            <w:tcMar>
              <w:top w:type="dxa" w:w="80"/>
              <w:left w:type="dxa" w:w="100"/>
              <w:bottom w:type="dxa" w:w="80"/>
              <w:right w:type="dxa" w:w="100"/>
            </w:tcMar>
          </w:tcPr>
          <w:p>
            <w:r>
              <w:rPr>
                <w:sz w:val="20"/>
                <w:szCs w:val="20"/>
              </w:rPr>
              <w:t xml:space="preserve">instrument_entity_map</w:t>
            </w:r>
          </w:p>
        </w:tc>
        <w:tc>
          <w:tcPr>
            <w:tcW w:type="dxa" w:w="3830"/>
            <w:tcMar>
              <w:top w:type="dxa" w:w="80"/>
              <w:left w:type="dxa" w:w="100"/>
              <w:bottom w:type="dxa" w:w="80"/>
              <w:right w:type="dxa" w:w="100"/>
            </w:tcMar>
          </w:tcPr>
          <w:p>
            <w:r>
              <w:rPr>
                <w:sz w:val="20"/>
                <w:szCs w:val="20"/>
              </w:rPr>
              <w:t xml:space="preserve">idx_instrument_entity_map_key</w:t>
            </w:r>
          </w:p>
        </w:tc>
        <w:tc>
          <w:tcPr>
            <w:tcW w:type="dxa" w:w="3730"/>
            <w:tcMar>
              <w:top w:type="dxa" w:w="80"/>
              <w:left w:type="dxa" w:w="100"/>
              <w:bottom w:type="dxa" w:w="80"/>
              <w:right w:type="dxa" w:w="100"/>
            </w:tcMar>
          </w:tcPr>
          <w:p>
            <w:r>
              <w:rPr>
                <w:sz w:val="20"/>
                <w:szCs w:val="20"/>
              </w:rPr>
              <w:t xml:space="preserve">(instrument_key)</w:t>
            </w:r>
          </w:p>
        </w:tc>
      </w:tr>
    </w:tbl>
    <w:p>
      <w:pPr>
        <w:pStyle w:val="Heading2"/>
        <w:spacing w:after="120" w:before="240"/>
      </w:pPr>
      <w:r>
        <w:rPr>
          <w:b/>
          <w:bCs/>
          <w:sz w:val="24"/>
          <w:szCs w:val="24"/>
        </w:rPr>
        <w:t xml:space="preserve">4.3 13F, Filings &amp; Precomputed Serving Domains (NEW — Sprint 2/3)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3830"/>
        <w:gridCol w:w="3226"/>
      </w:tblGrid>
      <w:tr>
        <w:trPr>
          <w:tblHeader/>
        </w:trPr>
        <w:tc>
          <w:tcPr>
            <w:tcW w:type="dxa" w:w="3024"/>
            <w:shd w:fill="D9E2F3" w:val="clear"/>
            <w:tcMar>
              <w:top w:type="dxa" w:w="80"/>
              <w:left w:type="dxa" w:w="100"/>
              <w:bottom w:type="dxa" w:w="80"/>
              <w:right w:type="dxa" w:w="100"/>
            </w:tcMar>
          </w:tcPr>
          <w:p>
            <w:r>
              <w:rPr>
                <w:b/>
                <w:bCs/>
                <w:sz w:val="20"/>
                <w:szCs w:val="20"/>
              </w:rPr>
              <w:t xml:space="preserve">Table</w:t>
            </w:r>
          </w:p>
        </w:tc>
        <w:tc>
          <w:tcPr>
            <w:tcW w:type="dxa" w:w="3830"/>
            <w:shd w:fill="D9E2F3" w:val="clear"/>
            <w:tcMar>
              <w:top w:type="dxa" w:w="80"/>
              <w:left w:type="dxa" w:w="100"/>
              <w:bottom w:type="dxa" w:w="80"/>
              <w:right w:type="dxa" w:w="100"/>
            </w:tcMar>
          </w:tcPr>
          <w:p>
            <w:r>
              <w:rPr>
                <w:b/>
                <w:bCs/>
                <w:sz w:val="20"/>
                <w:szCs w:val="20"/>
              </w:rPr>
              <w:t xml:space="preserve">Index</w:t>
            </w:r>
          </w:p>
        </w:tc>
        <w:tc>
          <w:tcPr>
            <w:tcW w:type="dxa" w:w="3226"/>
            <w:shd w:fill="D9E2F3" w:val="clear"/>
            <w:tcMar>
              <w:top w:type="dxa" w:w="80"/>
              <w:left w:type="dxa" w:w="100"/>
              <w:bottom w:type="dxa" w:w="80"/>
              <w:right w:type="dxa" w:w="100"/>
            </w:tcMar>
          </w:tcPr>
          <w:p>
            <w:r>
              <w:rPr>
                <w:b/>
                <w:bCs/>
                <w:sz w:val="20"/>
                <w:szCs w:val="20"/>
              </w:rPr>
              <w:t xml:space="preserve">Columns</w:t>
            </w:r>
          </w:p>
        </w:tc>
      </w:tr>
      <w:tr>
        <w:tc>
          <w:tcPr>
            <w:tcW w:type="dxa" w:w="3024"/>
            <w:tcMar>
              <w:top w:type="dxa" w:w="80"/>
              <w:left w:type="dxa" w:w="100"/>
              <w:bottom w:type="dxa" w:w="80"/>
              <w:right w:type="dxa" w:w="100"/>
            </w:tcMar>
          </w:tcPr>
          <w:p>
            <w:r>
              <w:rPr>
                <w:sz w:val="20"/>
                <w:szCs w:val="20"/>
              </w:rPr>
              <w:t xml:space="preserve">filing13f</w:t>
            </w:r>
          </w:p>
        </w:tc>
        <w:tc>
          <w:tcPr>
            <w:tcW w:type="dxa" w:w="3830"/>
            <w:tcMar>
              <w:top w:type="dxa" w:w="80"/>
              <w:left w:type="dxa" w:w="100"/>
              <w:bottom w:type="dxa" w:w="80"/>
              <w:right w:type="dxa" w:w="100"/>
            </w:tcMar>
          </w:tcPr>
          <w:p>
            <w:r>
              <w:rPr>
                <w:sz w:val="20"/>
                <w:szCs w:val="20"/>
              </w:rPr>
              <w:t xml:space="preserve">idx_filing13f_cik</w:t>
            </w:r>
          </w:p>
        </w:tc>
        <w:tc>
          <w:tcPr>
            <w:tcW w:type="dxa" w:w="3226"/>
            <w:tcMar>
              <w:top w:type="dxa" w:w="80"/>
              <w:left w:type="dxa" w:w="100"/>
              <w:bottom w:type="dxa" w:w="80"/>
              <w:right w:type="dxa" w:w="100"/>
            </w:tcMar>
          </w:tcPr>
          <w:p>
            <w:r>
              <w:rPr>
                <w:sz w:val="20"/>
                <w:szCs w:val="20"/>
              </w:rPr>
              <w:t xml:space="preserve">(cik)</w:t>
            </w:r>
          </w:p>
        </w:tc>
      </w:tr>
      <w:tr>
        <w:tc>
          <w:tcPr>
            <w:tcW w:type="dxa" w:w="3024"/>
            <w:tcMar>
              <w:top w:type="dxa" w:w="80"/>
              <w:left w:type="dxa" w:w="100"/>
              <w:bottom w:type="dxa" w:w="80"/>
              <w:right w:type="dxa" w:w="100"/>
            </w:tcMar>
          </w:tcPr>
          <w:p>
            <w:r>
              <w:rPr>
                <w:sz w:val="20"/>
                <w:szCs w:val="20"/>
              </w:rPr>
              <w:t xml:space="preserve">holding13f_normalized</w:t>
            </w:r>
          </w:p>
        </w:tc>
        <w:tc>
          <w:tcPr>
            <w:tcW w:type="dxa" w:w="3830"/>
            <w:tcMar>
              <w:top w:type="dxa" w:w="80"/>
              <w:left w:type="dxa" w:w="100"/>
              <w:bottom w:type="dxa" w:w="80"/>
              <w:right w:type="dxa" w:w="100"/>
            </w:tcMar>
          </w:tcPr>
          <w:p>
            <w:r>
              <w:rPr>
                <w:sz w:val="20"/>
                <w:szCs w:val="20"/>
              </w:rPr>
              <w:t xml:space="preserve">idx_holding13f_report_period</w:t>
            </w:r>
          </w:p>
        </w:tc>
        <w:tc>
          <w:tcPr>
            <w:tcW w:type="dxa" w:w="3226"/>
            <w:tcMar>
              <w:top w:type="dxa" w:w="80"/>
              <w:left w:type="dxa" w:w="100"/>
              <w:bottom w:type="dxa" w:w="80"/>
              <w:right w:type="dxa" w:w="100"/>
            </w:tcMar>
          </w:tcPr>
          <w:p>
            <w:r>
              <w:rPr>
                <w:sz w:val="20"/>
                <w:szCs w:val="20"/>
              </w:rPr>
              <w:t xml:space="preserve">(report_period)</w:t>
            </w:r>
          </w:p>
        </w:tc>
      </w:tr>
      <w:tr>
        <w:tc>
          <w:tcPr>
            <w:tcW w:type="dxa" w:w="3024"/>
            <w:tcMar>
              <w:top w:type="dxa" w:w="80"/>
              <w:left w:type="dxa" w:w="100"/>
              <w:bottom w:type="dxa" w:w="80"/>
              <w:right w:type="dxa" w:w="100"/>
            </w:tcMar>
          </w:tcPr>
          <w:p>
            <w:r>
              <w:rPr>
                <w:sz w:val="20"/>
                <w:szCs w:val="20"/>
              </w:rPr>
              <w:t xml:space="preserve">issuerfilingmaster</w:t>
            </w:r>
          </w:p>
        </w:tc>
        <w:tc>
          <w:tcPr>
            <w:tcW w:type="dxa" w:w="3830"/>
            <w:tcMar>
              <w:top w:type="dxa" w:w="80"/>
              <w:left w:type="dxa" w:w="100"/>
              <w:bottom w:type="dxa" w:w="80"/>
              <w:right w:type="dxa" w:w="100"/>
            </w:tcMar>
          </w:tcPr>
          <w:p>
            <w:r>
              <w:rPr>
                <w:sz w:val="20"/>
                <w:szCs w:val="20"/>
              </w:rPr>
              <w:t xml:space="preserve">idx_issuerfilingmaster_cik_form</w:t>
            </w:r>
          </w:p>
        </w:tc>
        <w:tc>
          <w:tcPr>
            <w:tcW w:type="dxa" w:w="3226"/>
            <w:tcMar>
              <w:top w:type="dxa" w:w="80"/>
              <w:left w:type="dxa" w:w="100"/>
              <w:bottom w:type="dxa" w:w="80"/>
              <w:right w:type="dxa" w:w="100"/>
            </w:tcMar>
          </w:tcPr>
          <w:p>
            <w:r>
              <w:rPr>
                <w:sz w:val="20"/>
                <w:szCs w:val="20"/>
              </w:rPr>
              <w:t xml:space="preserve">(cik, form_type)</w:t>
            </w:r>
          </w:p>
        </w:tc>
      </w:tr>
      <w:tr>
        <w:tc>
          <w:tcPr>
            <w:tcW w:type="dxa" w:w="3024"/>
            <w:tcMar>
              <w:top w:type="dxa" w:w="80"/>
              <w:left w:type="dxa" w:w="100"/>
              <w:bottom w:type="dxa" w:w="80"/>
              <w:right w:type="dxa" w:w="100"/>
            </w:tcMar>
          </w:tcPr>
          <w:p>
            <w:r>
              <w:rPr>
                <w:sz w:val="20"/>
                <w:szCs w:val="20"/>
              </w:rPr>
              <w:t xml:space="preserve">financialfact_reported</w:t>
            </w:r>
          </w:p>
        </w:tc>
        <w:tc>
          <w:tcPr>
            <w:tcW w:type="dxa" w:w="3830"/>
            <w:tcMar>
              <w:top w:type="dxa" w:w="80"/>
              <w:left w:type="dxa" w:w="100"/>
              <w:bottom w:type="dxa" w:w="80"/>
              <w:right w:type="dxa" w:w="100"/>
            </w:tcMar>
          </w:tcPr>
          <w:p>
            <w:r>
              <w:rPr>
                <w:sz w:val="20"/>
                <w:szCs w:val="20"/>
              </w:rPr>
              <w:t xml:space="preserve">idx_financialfact_cik_tag</w:t>
            </w:r>
          </w:p>
        </w:tc>
        <w:tc>
          <w:tcPr>
            <w:tcW w:type="dxa" w:w="3226"/>
            <w:tcMar>
              <w:top w:type="dxa" w:w="80"/>
              <w:left w:type="dxa" w:w="100"/>
              <w:bottom w:type="dxa" w:w="80"/>
              <w:right w:type="dxa" w:w="100"/>
            </w:tcMar>
          </w:tcPr>
          <w:p>
            <w:r>
              <w:rPr>
                <w:sz w:val="20"/>
                <w:szCs w:val="20"/>
              </w:rPr>
              <w:t xml:space="preserve">(cik, xbrl_tag)</w:t>
            </w:r>
          </w:p>
        </w:tc>
      </w:tr>
      <w:tr>
        <w:tc>
          <w:tcPr>
            <w:tcW w:type="dxa" w:w="3024"/>
            <w:tcMar>
              <w:top w:type="dxa" w:w="80"/>
              <w:left w:type="dxa" w:w="100"/>
              <w:bottom w:type="dxa" w:w="80"/>
              <w:right w:type="dxa" w:w="100"/>
            </w:tcMar>
          </w:tcPr>
          <w:p>
            <w:r>
              <w:rPr>
                <w:sz w:val="20"/>
                <w:szCs w:val="20"/>
              </w:rPr>
              <w:t xml:space="preserve">issuereventstream</w:t>
            </w:r>
          </w:p>
        </w:tc>
        <w:tc>
          <w:tcPr>
            <w:tcW w:type="dxa" w:w="3830"/>
            <w:tcMar>
              <w:top w:type="dxa" w:w="80"/>
              <w:left w:type="dxa" w:w="100"/>
              <w:bottom w:type="dxa" w:w="80"/>
              <w:right w:type="dxa" w:w="100"/>
            </w:tcMar>
          </w:tcPr>
          <w:p>
            <w:r>
              <w:rPr>
                <w:sz w:val="20"/>
                <w:szCs w:val="20"/>
              </w:rPr>
              <w:t xml:space="preserve">idx_issuereventstream_cik</w:t>
            </w:r>
          </w:p>
        </w:tc>
        <w:tc>
          <w:tcPr>
            <w:tcW w:type="dxa" w:w="3226"/>
            <w:tcMar>
              <w:top w:type="dxa" w:w="80"/>
              <w:left w:type="dxa" w:w="100"/>
              <w:bottom w:type="dxa" w:w="80"/>
              <w:right w:type="dxa" w:w="100"/>
            </w:tcMar>
          </w:tcPr>
          <w:p>
            <w:r>
              <w:rPr>
                <w:sz w:val="20"/>
                <w:szCs w:val="20"/>
              </w:rPr>
              <w:t xml:space="preserve">(cik, filed_date DESC)</w:t>
            </w:r>
          </w:p>
        </w:tc>
      </w:tr>
      <w:tr>
        <w:tc>
          <w:tcPr>
            <w:tcW w:type="dxa" w:w="3024"/>
            <w:tcMar>
              <w:top w:type="dxa" w:w="80"/>
              <w:left w:type="dxa" w:w="100"/>
              <w:bottom w:type="dxa" w:w="80"/>
              <w:right w:type="dxa" w:w="100"/>
            </w:tcMar>
          </w:tcPr>
          <w:p>
            <w:r>
              <w:rPr>
                <w:sz w:val="20"/>
                <w:szCs w:val="20"/>
              </w:rPr>
              <w:t xml:space="preserve">issuereventstream</w:t>
            </w:r>
          </w:p>
        </w:tc>
        <w:tc>
          <w:tcPr>
            <w:tcW w:type="dxa" w:w="3830"/>
            <w:tcMar>
              <w:top w:type="dxa" w:w="80"/>
              <w:left w:type="dxa" w:w="100"/>
              <w:bottom w:type="dxa" w:w="80"/>
              <w:right w:type="dxa" w:w="100"/>
            </w:tcMar>
          </w:tcPr>
          <w:p>
            <w:r>
              <w:rPr>
                <w:sz w:val="20"/>
                <w:szCs w:val="20"/>
              </w:rPr>
              <w:t xml:space="preserve">idx_ies_entity_id</w:t>
            </w:r>
          </w:p>
        </w:tc>
        <w:tc>
          <w:tcPr>
            <w:tcW w:type="dxa" w:w="3226"/>
            <w:tcMar>
              <w:top w:type="dxa" w:w="80"/>
              <w:left w:type="dxa" w:w="100"/>
              <w:bottom w:type="dxa" w:w="80"/>
              <w:right w:type="dxa" w:w="100"/>
            </w:tcMar>
          </w:tcPr>
          <w:p>
            <w:r>
              <w:rPr>
                <w:sz w:val="20"/>
                <w:szCs w:val="20"/>
              </w:rPr>
              <w:t xml:space="preserve">(entity_id)</w:t>
            </w:r>
          </w:p>
        </w:tc>
      </w:tr>
      <w:tr>
        <w:tc>
          <w:tcPr>
            <w:tcW w:type="dxa" w:w="3024"/>
            <w:tcMar>
              <w:top w:type="dxa" w:w="80"/>
              <w:left w:type="dxa" w:w="100"/>
              <w:bottom w:type="dxa" w:w="80"/>
              <w:right w:type="dxa" w:w="100"/>
            </w:tcMar>
          </w:tcPr>
          <w:p>
            <w:r>
              <w:rPr>
                <w:sz w:val="20"/>
                <w:szCs w:val="20"/>
              </w:rPr>
              <w:t xml:space="preserve">managerissuerpositionquarterly</w:t>
            </w:r>
          </w:p>
        </w:tc>
        <w:tc>
          <w:tcPr>
            <w:tcW w:type="dxa" w:w="3830"/>
            <w:tcMar>
              <w:top w:type="dxa" w:w="80"/>
              <w:left w:type="dxa" w:w="100"/>
              <w:bottom w:type="dxa" w:w="80"/>
              <w:right w:type="dxa" w:w="100"/>
            </w:tcMar>
          </w:tcPr>
          <w:p>
            <w:r>
              <w:rPr>
                <w:sz w:val="20"/>
                <w:szCs w:val="20"/>
              </w:rPr>
              <w:t xml:space="preserve">idx_mqp_cik_period</w:t>
            </w:r>
          </w:p>
        </w:tc>
        <w:tc>
          <w:tcPr>
            <w:tcW w:type="dxa" w:w="3226"/>
            <w:tcMar>
              <w:top w:type="dxa" w:w="80"/>
              <w:left w:type="dxa" w:w="100"/>
              <w:bottom w:type="dxa" w:w="80"/>
              <w:right w:type="dxa" w:w="100"/>
            </w:tcMar>
          </w:tcPr>
          <w:p>
            <w:r>
              <w:rPr>
                <w:sz w:val="20"/>
                <w:szCs w:val="20"/>
              </w:rPr>
              <w:t xml:space="preserve">(cik, report_period)</w:t>
            </w:r>
          </w:p>
        </w:tc>
      </w:tr>
      <w:tr>
        <w:tc>
          <w:tcPr>
            <w:tcW w:type="dxa" w:w="3024"/>
            <w:tcMar>
              <w:top w:type="dxa" w:w="80"/>
              <w:left w:type="dxa" w:w="100"/>
              <w:bottom w:type="dxa" w:w="80"/>
              <w:right w:type="dxa" w:w="100"/>
            </w:tcMar>
          </w:tcPr>
          <w:p>
            <w:r>
              <w:rPr>
                <w:sz w:val="20"/>
                <w:szCs w:val="20"/>
              </w:rPr>
              <w:t xml:space="preserve">managerissuerpositionquarterly</w:t>
            </w:r>
          </w:p>
        </w:tc>
        <w:tc>
          <w:tcPr>
            <w:tcW w:type="dxa" w:w="3830"/>
            <w:tcMar>
              <w:top w:type="dxa" w:w="80"/>
              <w:left w:type="dxa" w:w="100"/>
              <w:bottom w:type="dxa" w:w="80"/>
              <w:right w:type="dxa" w:w="100"/>
            </w:tcMar>
          </w:tcPr>
          <w:p>
            <w:r>
              <w:rPr>
                <w:sz w:val="20"/>
                <w:szCs w:val="20"/>
              </w:rPr>
              <w:t xml:space="preserve">idx_mqp_cusip_period</w:t>
            </w:r>
          </w:p>
        </w:tc>
        <w:tc>
          <w:tcPr>
            <w:tcW w:type="dxa" w:w="3226"/>
            <w:tcMar>
              <w:top w:type="dxa" w:w="80"/>
              <w:left w:type="dxa" w:w="100"/>
              <w:bottom w:type="dxa" w:w="80"/>
              <w:right w:type="dxa" w:w="100"/>
            </w:tcMar>
          </w:tcPr>
          <w:p>
            <w:r>
              <w:rPr>
                <w:sz w:val="20"/>
                <w:szCs w:val="20"/>
              </w:rPr>
              <w:t xml:space="preserve">(cusip, report_period)</w:t>
            </w:r>
          </w:p>
        </w:tc>
      </w:tr>
      <w:tr>
        <w:tc>
          <w:tcPr>
            <w:tcW w:type="dxa" w:w="3024"/>
            <w:tcMar>
              <w:top w:type="dxa" w:w="80"/>
              <w:left w:type="dxa" w:w="100"/>
              <w:bottom w:type="dxa" w:w="80"/>
              <w:right w:type="dxa" w:w="100"/>
            </w:tcMar>
          </w:tcPr>
          <w:p>
            <w:r>
              <w:rPr>
                <w:sz w:val="20"/>
                <w:szCs w:val="20"/>
              </w:rPr>
              <w:t xml:space="preserve">managerissuerpositionquarterly</w:t>
            </w:r>
          </w:p>
        </w:tc>
        <w:tc>
          <w:tcPr>
            <w:tcW w:type="dxa" w:w="3830"/>
            <w:tcMar>
              <w:top w:type="dxa" w:w="80"/>
              <w:left w:type="dxa" w:w="100"/>
              <w:bottom w:type="dxa" w:w="80"/>
              <w:right w:type="dxa" w:w="100"/>
            </w:tcMar>
          </w:tcPr>
          <w:p>
            <w:r>
              <w:rPr>
                <w:sz w:val="20"/>
                <w:szCs w:val="20"/>
              </w:rPr>
              <w:t xml:space="preserve">idx_mqp_entity_id</w:t>
            </w:r>
          </w:p>
        </w:tc>
        <w:tc>
          <w:tcPr>
            <w:tcW w:type="dxa" w:w="3226"/>
            <w:tcMar>
              <w:top w:type="dxa" w:w="80"/>
              <w:left w:type="dxa" w:w="100"/>
              <w:bottom w:type="dxa" w:w="80"/>
              <w:right w:type="dxa" w:w="100"/>
            </w:tcMar>
          </w:tcPr>
          <w:p>
            <w:r>
              <w:rPr>
                <w:sz w:val="20"/>
                <w:szCs w:val="20"/>
              </w:rPr>
              <w:t xml:space="preserve">(entity_id)</w:t>
            </w:r>
          </w:p>
        </w:tc>
      </w:tr>
      <w:tr>
        <w:tc>
          <w:tcPr>
            <w:tcW w:type="dxa" w:w="3024"/>
            <w:tcMar>
              <w:top w:type="dxa" w:w="80"/>
              <w:left w:type="dxa" w:w="100"/>
              <w:bottom w:type="dxa" w:w="80"/>
              <w:right w:type="dxa" w:w="100"/>
            </w:tcMar>
          </w:tcPr>
          <w:p>
            <w:r>
              <w:rPr>
                <w:sz w:val="20"/>
                <w:szCs w:val="20"/>
              </w:rPr>
              <w:t xml:space="preserve">issuerperiodsummary</w:t>
            </w:r>
          </w:p>
        </w:tc>
        <w:tc>
          <w:tcPr>
            <w:tcW w:type="dxa" w:w="3830"/>
            <w:tcMar>
              <w:top w:type="dxa" w:w="80"/>
              <w:left w:type="dxa" w:w="100"/>
              <w:bottom w:type="dxa" w:w="80"/>
              <w:right w:type="dxa" w:w="100"/>
            </w:tcMar>
          </w:tcPr>
          <w:p>
            <w:r>
              <w:rPr>
                <w:sz w:val="20"/>
                <w:szCs w:val="20"/>
              </w:rPr>
              <w:t xml:space="preserve">idx_ips_entity_id</w:t>
            </w:r>
          </w:p>
        </w:tc>
        <w:tc>
          <w:tcPr>
            <w:tcW w:type="dxa" w:w="3226"/>
            <w:tcMar>
              <w:top w:type="dxa" w:w="80"/>
              <w:left w:type="dxa" w:w="100"/>
              <w:bottom w:type="dxa" w:w="80"/>
              <w:right w:type="dxa" w:w="100"/>
            </w:tcMar>
          </w:tcPr>
          <w:p>
            <w:r>
              <w:rPr>
                <w:sz w:val="20"/>
                <w:szCs w:val="20"/>
              </w:rPr>
              <w:t xml:space="preserve">(entity_id)</w:t>
            </w:r>
          </w:p>
        </w:tc>
      </w:tr>
    </w:tbl>
    <w:p>
      <w:pPr>
        <w:pStyle w:val="Heading1"/>
        <w:spacing w:after="180" w:before="360"/>
      </w:pPr>
      <w:r>
        <w:rPr>
          <w:b/>
          <w:bCs/>
          <w:sz w:val="28"/>
          <w:szCs w:val="28"/>
        </w:rPr>
        <w:t xml:space="preserve">5. Non-Negotiable Rules</w:t>
      </w:r>
    </w:p>
    <w:p>
      <w:pPr>
        <w:spacing w:after="160" w:before="0"/>
      </w:pPr>
      <w:r>
        <w:rPr>
          <w:i/>
          <w:iCs/>
        </w:rPr>
        <w:t xml:space="preserve">Carried forward from v8/v9, unchanged unless noted.</w:t>
      </w:r>
    </w:p>
    <w:p>
      <w:pPr>
        <w:pStyle w:val="ListParagraph"/>
        <w:numPr>
          <w:ilvl w:val="0"/>
          <w:numId w:val="1"/>
        </w:numPr>
        <w:spacing w:after="80"/>
      </w:pPr>
      <w:r>
        <w:rPr>
          <w:sz w:val="21"/>
          <w:szCs w:val="21"/>
        </w:rPr>
        <w:t xml:space="preserve">Keep vanilla JS — no React, Vue, or frontend frameworks</w:t>
      </w:r>
    </w:p>
    <w:p>
      <w:pPr>
        <w:pStyle w:val="ListParagraph"/>
        <w:numPr>
          <w:ilvl w:val="0"/>
          <w:numId w:val="1"/>
        </w:numPr>
        <w:spacing w:after="80"/>
      </w:pPr>
      <w:r>
        <w:rPr>
          <w:sz w:val="21"/>
          <w:szCs w:val="21"/>
        </w:rPr>
        <w:t xml:space="preserve">Cloudflare Workers compatible — no Node-only dependencies in frontend code</w:t>
      </w:r>
    </w:p>
    <w:p>
      <w:pPr>
        <w:pStyle w:val="ListParagraph"/>
        <w:numPr>
          <w:ilvl w:val="0"/>
          <w:numId w:val="1"/>
        </w:numPr>
        <w:spacing w:after="80"/>
      </w:pPr>
      <w:r>
        <w:rPr>
          <w:sz w:val="21"/>
          <w:szCs w:val="21"/>
        </w:rPr>
        <w:t xml:space="preserve">Avoid paid APIs — use free tiers or scrape-friendly public sources</w:t>
      </w:r>
    </w:p>
    <w:p>
      <w:pPr>
        <w:pStyle w:val="ListParagraph"/>
        <w:numPr>
          <w:ilvl w:val="0"/>
          <w:numId w:val="1"/>
        </w:numPr>
        <w:spacing w:after="80"/>
      </w:pPr>
      <w:r>
        <w:rPr>
          <w:sz w:val="21"/>
          <w:szCs w:val="21"/>
        </w:rPr>
        <w:t xml:space="preserve">Modular structure — do not consolidate or merge modules without discussion</w:t>
      </w:r>
    </w:p>
    <w:p>
      <w:pPr>
        <w:pStyle w:val="ListParagraph"/>
        <w:numPr>
          <w:ilvl w:val="0"/>
          <w:numId w:val="1"/>
        </w:numPr>
        <w:spacing w:after="80"/>
      </w:pPr>
      <w:r>
        <w:rPr>
          <w:sz w:val="21"/>
          <w:szCs w:val="21"/>
        </w:rPr>
        <w:t xml:space="preserve">INSERT OR IGNORE always in D1 — never overwrite manually seeded data</w:t>
      </w:r>
    </w:p>
    <w:p>
      <w:pPr>
        <w:pStyle w:val="ListParagraph"/>
        <w:numPr>
          <w:ilvl w:val="0"/>
          <w:numId w:val="1"/>
        </w:numPr>
        <w:spacing w:after="80"/>
      </w:pPr>
      <w:r>
        <w:rPr>
          <w:sz w:val="21"/>
          <w:szCs w:val="21"/>
        </w:rPr>
        <w:t xml:space="preserve">SEC EDGAR rate limit — 150ms minimum between requests, User-Agent header required</w:t>
      </w:r>
    </w:p>
    <w:p>
      <w:pPr>
        <w:pStyle w:val="ListParagraph"/>
        <w:numPr>
          <w:ilvl w:val="0"/>
          <w:numId w:val="1"/>
        </w:numPr>
        <w:spacing w:after="80"/>
      </w:pPr>
      <w:r>
        <w:rPr>
          <w:sz w:val="21"/>
          <w:szCs w:val="21"/>
        </w:rPr>
        <w:t xml:space="preserve">Free tier aware — 100k writes/day soft limit. Use db.batch() for all multi-row D1 writes. Write guard active in pipeline.</w:t>
      </w:r>
    </w:p>
    <w:p>
      <w:pPr>
        <w:pStyle w:val="ListParagraph"/>
        <w:numPr>
          <w:ilvl w:val="0"/>
          <w:numId w:val="1"/>
        </w:numPr>
        <w:spacing w:after="80"/>
      </w:pPr>
      <w:r>
        <w:rPr>
          <w:sz w:val="21"/>
          <w:szCs w:val="21"/>
        </w:rPr>
        <w:t xml:space="preserve">coverage_status is lowercase in D1 — always compare as lowercase</w:t>
      </w:r>
    </w:p>
    <w:p>
      <w:pPr>
        <w:pStyle w:val="ListParagraph"/>
        <w:numPr>
          <w:ilvl w:val="0"/>
          <w:numId w:val="1"/>
        </w:numPr>
        <w:spacing w:after="80"/>
      </w:pPr>
      <w:r>
        <w:rPr>
          <w:sz w:val="21"/>
          <w:szCs w:val="21"/>
        </w:rPr>
        <w:t xml:space="preserve">ETF universe boundary — MIN_NET_ASSETS = $500M for new bootstrap discoveries</w:t>
      </w:r>
    </w:p>
    <w:p>
      <w:pPr>
        <w:pStyle w:val="ListParagraph"/>
        <w:numPr>
          <w:ilvl w:val="0"/>
          <w:numId w:val="1"/>
        </w:numPr>
        <w:spacing w:after="80"/>
      </w:pPr>
      <w:r>
        <w:rPr>
          <w:sz w:val="21"/>
          <w:szCs w:val="21"/>
        </w:rPr>
        <w:t xml:space="preserve">Two-part prompt structure — diagnostic prompt first, implementation prompt second, with approval in between</w:t>
      </w:r>
    </w:p>
    <w:p>
      <w:pPr>
        <w:pStyle w:val="ListParagraph"/>
        <w:numPr>
          <w:ilvl w:val="0"/>
          <w:numId w:val="1"/>
        </w:numPr>
        <w:spacing w:after="80"/>
      </w:pPr>
      <w:r>
        <w:rPr>
          <w:sz w:val="21"/>
          <w:szCs w:val="21"/>
        </w:rPr>
        <w:t xml:space="preserve">meta=fc is additive only — base response shapes never change</w:t>
      </w:r>
    </w:p>
    <w:p>
      <w:pPr>
        <w:pStyle w:val="ListParagraph"/>
        <w:numPr>
          <w:ilvl w:val="0"/>
          <w:numId w:val="1"/>
        </w:numPr>
        <w:spacing w:after="80"/>
      </w:pPr>
      <w:r>
        <w:rPr>
          <w:sz w:val="21"/>
          <w:szCs w:val="21"/>
        </w:rPr>
        <w:t xml:space="preserve">coverage_depth writes once per ETF per ingestion cycle — non-fatal try/catch required</w:t>
      </w:r>
    </w:p>
    <w:p>
      <w:pPr>
        <w:pStyle w:val="ListParagraph"/>
        <w:numPr>
          <w:ilvl w:val="0"/>
          <w:numId w:val="1"/>
        </w:numPr>
        <w:spacing w:after="80"/>
      </w:pPr>
      <w:r>
        <w:rPr>
          <w:sz w:val="21"/>
          <w:szCs w:val="21"/>
        </w:rPr>
        <w:t xml:space="preserve">Worker split trigger — if src/index.js exceeds 15 routes or ~1,500 lines, split into a new Worker</w:t>
      </w:r>
    </w:p>
    <w:p>
      <w:pPr>
        <w:spacing w:after="160" w:before="0"/>
      </w:pPr>
      <w:r>
        <w:rPr>
          <w:b/>
          <w:bCs/>
        </w:rPr>
        <w:t xml:space="preserve">Domain write isolation, formalised in v9:</w:t>
      </w:r>
    </w:p>
    <w:p>
      <w:pPr>
        <w:spacing w:after="160" w:before="0"/>
      </w:pPr>
      <w:r>
        <w:t xml:space="preserve">No Entities pipeline may write to fund_holdings_monthly, etf_master, or fund_snapshot_monthly. No ETF pipeline may write to any Entities-domain table. This boundary was tested repeatedly in the June cycle and held throughout every incident. Extended in the July Sprint: no 13F or Filings pipeline writes to ETF- or Entities-domain tables either — the 13F and Filings domains are additive and self-contained.</w:t>
      </w:r>
    </w:p>
    <w:p>
      <w:pPr>
        <w:spacing w:after="160" w:before="0"/>
      </w:pPr>
      <w:r>
        <w:rPr>
          <w:b/>
          <w:bCs/>
        </w:rPr>
        <w:t xml:space="preserve">D1 REST API parameter ceiling (v9):</w:t>
      </w:r>
    </w:p>
    <w:p>
      <w:pPr>
        <w:spacing w:after="160" w:before="0"/>
      </w:pPr>
      <w:r>
        <w:t xml:space="preserve">Multi-row INSERT batches via the D1 REST API are capped at roughly 100 bound parameters per call. For a 13-column table this means a safe batch size of approximately 7 rows per call. Any new bulk-insert script must test this empirically against its own column count before committing to a batch size.</w:t>
      </w:r>
    </w:p>
    <w:p>
      <w:pPr>
        <w:spacing w:after="160" w:before="0"/>
      </w:pPr>
      <w:r>
        <w:rPr>
          <w:b/>
          <w:bCs/>
        </w:rPr>
        <w:t xml:space="preserve">Global function naming (v9):</w:t>
      </w:r>
    </w:p>
    <w:p>
      <w:pPr>
        <w:spacing w:after="160" w:before="0"/>
      </w:pPr>
      <w:r>
        <w:t xml:space="preserve">This codebase uses plain &lt;script&gt; tags with no module system — every top-level function declaration shares one global namespace across all loaded files. A same-named function in a later-loaded file silently overwrites an earlier one with no error (see Section 7.4). Before adding any new top-level function, check it doesn't collide with a name already used in another loaded file. The July Sprint's mgr_- and ent_-prefixed function naming conventions (Sections 16.5, 17.5) exist specifically to guard against this.</w:t>
      </w:r>
    </w:p>
    <w:p>
      <w:pPr>
        <w:spacing w:after="160" w:before="0"/>
      </w:pPr>
      <w:r>
        <w:rPr>
          <w:b/>
          <w:bCs/>
        </w:rPr>
        <w:t xml:space="preserve">NEW in Sprint 2/3:</w:t>
      </w:r>
    </w:p>
    <w:p>
      <w:pPr>
        <w:pStyle w:val="ListParagraph"/>
        <w:numPr>
          <w:ilvl w:val="0"/>
          <w:numId w:val="1"/>
        </w:numPr>
        <w:spacing w:after="80"/>
      </w:pPr>
      <w:r>
        <w:rPr>
          <w:sz w:val="21"/>
          <w:szCs w:val="21"/>
        </w:rPr>
        <w:t xml:space="preserve">D1 write multiplier confirmed empirically: 1 index = 2x writes, 2 indexes = 3x writes, 3 indexes = 4x writes per INSERT. Factor this into any new table's write-budget estimate before deployment.</w:t>
      </w:r>
    </w:p>
    <w:p>
      <w:pPr>
        <w:pStyle w:val="ListParagraph"/>
        <w:numPr>
          <w:ilvl w:val="0"/>
          <w:numId w:val="1"/>
        </w:numPr>
        <w:spacing w:after="80"/>
      </w:pPr>
      <w:r>
        <w:rPr>
          <w:sz w:val="21"/>
          <w:szCs w:val="21"/>
        </w:rPr>
        <w:t xml:space="preserve">Free tier caps are soft, not hard-blocked: Cloudflare accepts over-cap D1 writes/reads without data loss, but budgets should still be respected as a discipline, not treated as unenforced.</w:t>
      </w:r>
    </w:p>
    <w:p>
      <w:pPr>
        <w:pStyle w:val="ListParagraph"/>
        <w:numPr>
          <w:ilvl w:val="0"/>
          <w:numId w:val="1"/>
        </w:numPr>
        <w:spacing w:after="80"/>
      </w:pPr>
      <w:r>
        <w:rPr>
          <w:sz w:val="21"/>
          <w:szCs w:val="21"/>
        </w:rPr>
        <w:t xml:space="preserve">holding13f_raw was deliberately not built — parse TSV directly to the normalized table rather than maintaining a raw mirror table, to control storage growth.</w:t>
      </w:r>
    </w:p>
    <w:p>
      <w:pPr>
        <w:pStyle w:val="ListParagraph"/>
        <w:numPr>
          <w:ilvl w:val="0"/>
          <w:numId w:val="1"/>
        </w:numPr>
        <w:spacing w:after="80"/>
      </w:pPr>
      <w:r>
        <w:rPr>
          <w:sz w:val="21"/>
          <w:szCs w:val="21"/>
        </w:rPr>
        <w:t xml:space="preserve">Any new precomputed/serving table must define its full uniqueness grain explicitly before seeding — omitting a discriminating column (e.g. put_call) caused a silent data-corruption bug caught at gate S3.1.</w:t>
      </w:r>
    </w:p>
    <w:p>
      <w:pPr>
        <w:pStyle w:val="ListParagraph"/>
        <w:numPr>
          <w:ilvl w:val="0"/>
          <w:numId w:val="1"/>
        </w:numPr>
        <w:spacing w:after="80"/>
      </w:pPr>
      <w:r>
        <w:rPr>
          <w:sz w:val="21"/>
          <w:szCs w:val="21"/>
        </w:rPr>
        <w:t xml:space="preserve">No ma-issuer.js — the Issuer page extends ma-entities.js via ent_-prefixed functions rather than a new module file, keeping entity-domain frontend logic together in one place.</w:t>
      </w:r>
    </w:p>
    <w:p>
      <w:pPr>
        <w:pStyle w:val="Heading2"/>
        <w:spacing w:after="120" w:before="240"/>
      </w:pPr>
      <w:r>
        <w:rPr>
          <w:b/>
          <w:bCs/>
          <w:sz w:val="24"/>
          <w:szCs w:val="24"/>
        </w:rPr>
        <w:t xml:space="preserve">5.1 Pre-Deployment Pipeline Safety — Three-Point Check</w:t>
      </w:r>
    </w:p>
    <w:p>
      <w:pPr>
        <w:spacing w:after="160" w:before="0"/>
      </w:pPr>
      <w:r>
        <w:rPr>
          <w:i/>
          <w:iCs/>
        </w:rPr>
        <w:t xml:space="preserve">Unchanged from v8/v9, reaffirmed and applied to every new July Sprint Worker (S2.7 for meridian-13f, S2.16 for meridian-filings):</w:t>
      </w:r>
    </w:p>
    <w:p>
      <w:pPr>
        <w:pStyle w:val="ListParagraph"/>
        <w:numPr>
          <w:ilvl w:val="0"/>
          <w:numId w:val="1"/>
        </w:numPr>
        <w:spacing w:after="80"/>
      </w:pPr>
      <w:r>
        <w:rPr>
          <w:sz w:val="21"/>
          <w:szCs w:val="21"/>
        </w:rPr>
        <w:t xml:space="preserve">Index audit — EXPLAIN QUERY PLAN on every new query touching fund_holdings_monthly before deployment</w:t>
      </w:r>
    </w:p>
    <w:p>
      <w:pPr>
        <w:pStyle w:val="ListParagraph"/>
        <w:numPr>
          <w:ilvl w:val="0"/>
          <w:numId w:val="1"/>
        </w:numPr>
        <w:spacing w:after="80"/>
      </w:pPr>
      <w:r>
        <w:rPr>
          <w:sz w:val="21"/>
          <w:szCs w:val="21"/>
        </w:rPr>
        <w:t xml:space="preserve">Single execution test — trigger manually once, check D1 read consumption before scheduling</w:t>
      </w:r>
    </w:p>
    <w:p>
      <w:pPr>
        <w:pStyle w:val="ListParagraph"/>
        <w:numPr>
          <w:ilvl w:val="0"/>
          <w:numId w:val="1"/>
        </w:numPr>
        <w:spacing w:after="80"/>
      </w:pPr>
      <w:r>
        <w:rPr>
          <w:sz w:val="21"/>
          <w:szCs w:val="21"/>
        </w:rPr>
        <w:t xml:space="preserve">Read budget declaration — estimated reads per invocation declared in a comment before deployment</w:t>
      </w:r>
    </w:p>
    <w:p>
      <w:pPr>
        <w:spacing w:after="160" w:before="0"/>
      </w:pPr>
      <w:r>
        <w:rPr>
          <w:i/>
          <w:iCs/>
        </w:rPr>
        <w:t xml:space="preserve">New pipelines deploy with cron disabled; the trigger is added only after the three checks pass.</w:t>
      </w:r>
    </w:p>
    <w:p>
      <w:pPr>
        <w:pStyle w:val="Heading1"/>
        <w:spacing w:after="180" w:before="360"/>
      </w:pPr>
      <w:r>
        <w:rPr>
          <w:b/>
          <w:bCs/>
          <w:sz w:val="28"/>
          <w:szCs w:val="28"/>
        </w:rPr>
        <w:t xml:space="preserve">6. The June 12 2026 Incident</w:t>
      </w:r>
    </w:p>
    <w:p>
      <w:pPr>
        <w:spacing w:after="160" w:before="0"/>
      </w:pPr>
      <w:r>
        <w:rPr>
          <w:i/>
          <w:iCs/>
        </w:rPr>
        <w:t xml:space="preserve">(Carried forward from v8/v9, for context.)</w:t>
      </w:r>
    </w:p>
    <w:p>
      <w:pPr>
        <w:spacing w:after="160" w:before="0"/>
      </w:pPr>
      <w:r>
        <w:t xml:space="preserve">Phase 1 of the entity enrichment worker ran a query against fund_holdings_monthly with no index on security_name. The query ran 5,232 times at 39,000 rows per lookup — 204 million D1 reads in one morning. Fix: idx_holdings_security_name added. This incident is the origin of the three-point check rule.</w:t>
      </w:r>
    </w:p>
    <w:p>
      <w:pPr>
        <w:pStyle w:val="Heading1"/>
        <w:spacing w:after="180" w:before="360"/>
      </w:pPr>
      <w:r>
        <w:rPr>
          <w:b/>
          <w:bCs/>
          <w:sz w:val="28"/>
          <w:szCs w:val="28"/>
        </w:rPr>
        <w:t xml:space="preserve">7. Incidents — June 13–19, 2026 — Full Record</w:t>
      </w:r>
    </w:p>
    <w:p>
      <w:pPr>
        <w:spacing w:after="160" w:before="0"/>
      </w:pPr>
      <w:r>
        <w:t xml:space="preserve">This cycle saw two further major incidents, both found, root-caused, and fixed using the discipline established after the June 12 incident.</w:t>
      </w:r>
    </w:p>
    <w:p>
      <w:pPr>
        <w:pStyle w:val="Heading2"/>
        <w:spacing w:after="120" w:before="240"/>
      </w:pPr>
      <w:r>
        <w:rPr>
          <w:b/>
          <w:bCs/>
          <w:sz w:val="24"/>
          <w:szCs w:val="24"/>
        </w:rPr>
        <w:t xml:space="preserve">7.1 June 13, 2026 — Read-Budget Incident</w:t>
      </w:r>
    </w:p>
    <w:p>
      <w:pPr>
        <w:spacing w:after="160" w:before="0"/>
      </w:pPr>
      <w:r>
        <w:t xml:space="preserve">A NOT EXISTS correlated subquery in a resume-attempt query caused 314 million D1 reads in 29 seconds (on top of a separate 17.38 million-read monitoring query), totaling approximately 331 million reads against a 5M soft daily limit.</w:t>
      </w:r>
    </w:p>
    <w:p>
      <w:pPr>
        <w:spacing w:after="160" w:before="0"/>
      </w:pPr>
      <w:r>
        <w:t xml:space="preserve">Response: all cron triggers deleted from the Cloudflare dashboard and commented out in every wrangler*.toml file.</w:t>
      </w:r>
    </w:p>
    <w:p>
      <w:pPr>
        <w:spacing w:after="160" w:before="0"/>
      </w:pPr>
      <w:r>
        <w:t xml:space="preserve">New rule adopted: correlated subqueries, NOT EXISTS, and NOT IN against fund_holdings_monthly are banned without a prior EXPLAIN QUERY PLAN — same spirit as the three-point check, made explicit for this specific query pattern.</w:t>
      </w:r>
    </w:p>
    <w:p>
      <w:pPr>
        <w:pStyle w:val="Heading2"/>
        <w:spacing w:after="120" w:before="240"/>
      </w:pPr>
      <w:r>
        <w:rPr>
          <w:b/>
          <w:bCs/>
          <w:sz w:val="24"/>
          <w:szCs w:val="24"/>
        </w:rPr>
        <w:t xml:space="preserve">7.2 June 17, 2026 — Fund Entity LEI Corruption</w:t>
      </w:r>
    </w:p>
    <w:p>
      <w:pPr>
        <w:spacing w:after="160" w:before="0"/>
      </w:pPr>
      <w:r>
        <w:t xml:space="preserve">Root cause: the entity enrichment queue population script (entities-seed.js) deliberately set lookup_method = 'isin' for fund-type entities (ETFs), intending to resolve a fund's own LEI via GLEIF's ISIN-to-LEI lookup. This assumption was wrong — GLEIF's ISIN endpoint resolves to the issuing company of that ISIN, not the fund wrapper itself. For an ETF share class, this returns an essentially arbitrary, unrelated company's LEI. The enrichment worker then faithfully fetched and wrote that wrong company's full GLEIF profile (legal name, address, HQ city) onto the fund's row.</w:t>
      </w:r>
    </w:p>
    <w:p>
      <w:pPr>
        <w:spacing w:after="160" w:before="0"/>
      </w:pPr>
      <w:r>
        <w:t xml:space="preserve">Discovered via: a user noticing ARK Innovation ETF's entity page displaying Kratos Defense &amp; Security Solutions' legal name, LEI, and address. Investigation found 89 of 290 fund entities affected, including duplicate-LEI cases where two different funds had been assigned the same wrong LEI.</w:t>
      </w:r>
    </w:p>
    <w:p>
      <w:pPr>
        <w:spacing w:after="160" w:before="0"/>
      </w:pPr>
      <w:r>
        <w:rPr>
          <w:b/>
          <w:bCs/>
        </w:rPr>
        <w:t xml:space="preserve">Fix, three parts:</w:t>
      </w:r>
    </w:p>
    <w:p>
      <w:pPr>
        <w:pStyle w:val="ListParagraph"/>
        <w:numPr>
          <w:ilvl w:val="0"/>
          <w:numId w:val="1"/>
        </w:numPr>
        <w:spacing w:after="80"/>
      </w:pPr>
      <w:r>
        <w:rPr>
          <w:sz w:val="21"/>
          <w:szCs w:val="21"/>
        </w:rPr>
        <w:t xml:space="preserve">Full revert — nulled all GLEIF-derived fields on all 290 fund-type entities (not just the 89 visibly affected, since there was no reliable way to distinguish coincidentally-correct from wrong without manual verification)</w:t>
      </w:r>
    </w:p>
    <w:p>
      <w:pPr>
        <w:pStyle w:val="ListParagraph"/>
        <w:numPr>
          <w:ilvl w:val="0"/>
          <w:numId w:val="1"/>
        </w:numPr>
        <w:spacing w:after="80"/>
      </w:pPr>
      <w:r>
        <w:rPr>
          <w:sz w:val="21"/>
          <w:szCs w:val="21"/>
        </w:rPr>
        <w:t xml:space="preserve">Root cause fix in entities-seed.js — fund-type entities permanently excluded from the ISIN-lookup queue population path</w:t>
      </w:r>
    </w:p>
    <w:p>
      <w:pPr>
        <w:pStyle w:val="ListParagraph"/>
        <w:numPr>
          <w:ilvl w:val="0"/>
          <w:numId w:val="1"/>
        </w:numPr>
        <w:spacing w:after="80"/>
      </w:pPr>
      <w:r>
        <w:rPr>
          <w:sz w:val="21"/>
          <w:szCs w:val="21"/>
        </w:rPr>
        <w:t xml:space="preserve">Defense-in-depth in entities-enrich.js Phase 2 — added an explicit type != 'fund' guard so this failure mode cannot recur even if queue population has a future bug</w:t>
      </w:r>
    </w:p>
    <w:p>
      <w:pPr>
        <w:spacing w:after="160" w:before="0"/>
      </w:pPr>
      <w:r>
        <w:t xml:space="preserve">Verified clean for the remainder of the June cycle via repeated checks confirming zero fund entities with a populated LEI, across multiple full overnight unattended cron cycles.</w:t>
      </w:r>
    </w:p>
    <w:p>
      <w:pPr>
        <w:spacing w:after="160" w:before="0"/>
      </w:pPr>
      <w:r>
        <w:t xml:space="preserve">Related, smaller finding (same day): a fund's true "ownership" question is its fund manager, not an inferred GLEIF parent chain through the manager. This led directly to the Fund Manager UI feature (Section 9.4) replacing the Ownership Chain display for fund-type entities.</w:t>
      </w:r>
    </w:p>
    <w:p>
      <w:pPr>
        <w:pStyle w:val="Heading2"/>
        <w:spacing w:after="120" w:before="240"/>
      </w:pPr>
      <w:r>
        <w:rPr>
          <w:b/>
          <w:bCs/>
          <w:sz w:val="24"/>
          <w:szCs w:val="24"/>
        </w:rPr>
        <w:t xml:space="preserve">7.3 June 19, 2026 — Enrichment Relationship Lockout (the "6,236-entity bug")</w:t>
      </w:r>
    </w:p>
    <w:p>
      <w:pPr>
        <w:spacing w:after="160" w:before="0"/>
      </w:pPr>
      <w:r>
        <w:rPr>
          <w:b/>
          <w:bCs/>
        </w:rPr>
        <w:t xml:space="preserve">Root cause, two layered findings:</w:t>
      </w:r>
    </w:p>
    <w:p>
      <w:pPr>
        <w:spacing w:after="160" w:before="0"/>
      </w:pPr>
      <w:r>
        <w:t xml:space="preserve">First — Phase 3 of the enrichment worker selected entities WHERE lei_status IS NULL, meaning any entity that had already completed Level 1 enrichment once was permanently excluded from ever being checked for parent-relationship data, even if it had never actually received that check. This silently locked 6,236 operating entities out of relationship enrichment forever under the original query logic.</w:t>
      </w:r>
    </w:p>
    <w:p>
      <w:pPr>
        <w:spacing w:after="160" w:before="0"/>
      </w:pPr>
      <w:r>
        <w:t xml:space="preserve">Fix: the query was changed to also re-open entities where lei_status is set but direct_parent_lei, ultimate_parent_lei, AND direct_parent_exception are all still null — closing the gap while still respecting the original intent.</w:t>
      </w:r>
    </w:p>
    <w:p>
      <w:pPr>
        <w:spacing w:after="160" w:before="0"/>
      </w:pPr>
      <w:r>
        <w:t xml:space="preserve">Second, deeper finding — even after that fix, the population was not shrinking. Investigation (confirmed directly against the live GLEIF API, cross-checked manually against search.gleif.org) found that GLEIF's relationship data, when an entity has no parent declared, simply omits the relevant key from its JSON response rather than returning an explicit "no parent" exception object. The enrichment code only recorded an exception when GLEIF provided an explicit exception value — an absent key produced neither a written parent nor a recorded exception, so the entity was silently re-queried on every single Phase 3 cycle forever.</w:t>
      </w:r>
    </w:p>
    <w:p>
      <w:pPr>
        <w:spacing w:after="160" w:before="0"/>
      </w:pPr>
      <w:r>
        <w:t xml:space="preserve">Fix: treat an absent relationship key the same as an explicit exception for retry-prevention purposes — write a synthetic direct_parent_exception = 'NO_LINK_DECLARED' value. This converted the population from permanently stuck to genuinely, measurably draining (6,236 to 5,111 over the following 48 hours).</w:t>
      </w:r>
    </w:p>
    <w:p>
      <w:pPr>
        <w:spacing w:after="160" w:before="0"/>
      </w:pPr>
      <w:r>
        <w:t xml:space="preserve">Forward-looking gap, acknowledged and deliberately deferred: an entity correctly marked NO_LINK_DECLARED today has no mechanism to be re-checked if GLEIF later adds a relationship for it. The meridian-entities-delta Worker (deployed, cron frozen) includes a refreshParentExceptions function built specifically to close this gap on a monthly cadence once activated — see Section 19.</w:t>
      </w:r>
    </w:p>
    <w:p>
      <w:pPr>
        <w:pStyle w:val="Heading2"/>
        <w:spacing w:after="120" w:before="240"/>
      </w:pPr>
      <w:r>
        <w:rPr>
          <w:b/>
          <w:bCs/>
          <w:sz w:val="24"/>
          <w:szCs w:val="24"/>
        </w:rPr>
        <w:t xml:space="preserve">7.4 June 21, 2026 — The "Phantom Stale Badge" Bug</w:t>
      </w:r>
    </w:p>
    <w:p>
      <w:pPr>
        <w:spacing w:after="160" w:before="0"/>
      </w:pPr>
      <w:r>
        <w:t xml:space="preserve">A red "STALE" freshness badge appeared on certain ETFs' detail pages (confirmed on ACWI, EEM) under conditions that defied nine successive rounds of evidence-based elimination across two browsers.</w:t>
      </w:r>
    </w:p>
    <w:p>
      <w:pPr>
        <w:spacing w:after="160" w:before="0"/>
      </w:pPr>
      <w:r>
        <w:t xml:space="preserve">Actual root cause (found via a fresh, structured re-investigation): ma-etf.js and ma-entities.js each independently declared a top-level function named _freshnessBadge, with different signatures and different output formats. Because both files load via plain &lt;script&gt; tags with no module system, the later-loaded file's function silently overwrote the earlier one in the shared global scope. Passing a status string like 'current' into a function expecting a date produced new Date('current') -&gt; Invalid Date -&gt; NaN on every comparison -&gt; every single call fell through to the else branch, which rendered red "STALE" styling regardless of the ETF's actual freshness.</w:t>
      </w:r>
    </w:p>
    <w:p>
      <w:pPr>
        <w:spacing w:after="160" w:before="0"/>
      </w:pPr>
      <w:r>
        <w:t xml:space="preserve">Fix: renamed ma-etf.js's function to _etfFreshnessBadge — a three-line change, zero logic modified, eliminating the naming collision entirely. A follow-up audit of all top-level function declarations across all five frontend files found no further collisions of this kind.</w:t>
      </w:r>
    </w:p>
    <w:p>
      <w:pPr>
        <w:spacing w:after="160" w:before="0"/>
      </w:pPr>
      <w:r>
        <w:rPr>
          <w:i/>
          <w:iCs/>
        </w:rPr>
        <w:t xml:space="preserve">Process lesson, recorded in Section 5: this is the first confirmed instance of a global-scope naming collision in this codebase. Worth checking proactively before it recurs — see the mgr_/ent_ prefixing convention adopted in the July Sprint.</w:t>
      </w:r>
    </w:p>
    <w:p>
      <w:pPr>
        <w:pStyle w:val="Heading1"/>
        <w:spacing w:after="180" w:before="360"/>
      </w:pPr>
      <w:r>
        <w:rPr>
          <w:b/>
          <w:bCs/>
          <w:sz w:val="28"/>
          <w:szCs w:val="28"/>
        </w:rPr>
        <w:t xml:space="preserve">8. Module: ETF Intelligence Layer</w:t>
      </w:r>
    </w:p>
    <w:p>
      <w:pPr>
        <w:pStyle w:val="Heading2"/>
        <w:spacing w:after="120" w:before="240"/>
      </w:pPr>
      <w:r>
        <w:rPr>
          <w:b/>
          <w:bCs/>
          <w:sz w:val="24"/>
          <w:szCs w:val="24"/>
        </w:rPr>
        <w:t xml:space="preserve">8.1 Pipeline Status (as of June 21, 2026; unchanged through the July Sprint)</w:t>
      </w:r>
    </w:p>
    <w:p>
      <w:pPr>
        <w:spacing w:after="160" w:before="0"/>
      </w:pPr>
      <w:r>
        <w:rPr>
          <w:b/>
          <w:bCs/>
        </w:rPr>
        <w:t xml:space="preserve">Phase 3 ETF coverage gate: CLEARED.</w:t>
      </w:r>
    </w:p>
    <w:p>
      <w:pPr>
        <w:spacing w:after="160" w:before="0"/>
      </w:pPr>
      <w:r>
        <w:t xml:space="preserve">Every ETF in the deep coverage class has at least one month of holdings data (coverage_depth IS NOT NULL). This was the major ETF-side milestone of the June cycle, reached through a combination of:</w:t>
      </w:r>
    </w:p>
    <w:p>
      <w:pPr>
        <w:pStyle w:val="ListParagraph"/>
        <w:numPr>
          <w:ilvl w:val="0"/>
          <w:numId w:val="1"/>
        </w:numPr>
        <w:spacing w:after="80"/>
      </w:pPr>
      <w:r>
        <w:rPr>
          <w:sz w:val="21"/>
          <w:szCs w:val="21"/>
        </w:rPr>
        <w:t xml:space="preserve">Sustained pipeline operation at a tuned batch size (settled at 20 for steady-state, with deliberate temporary increases to 25-30 for focused catch-up pushes)</w:t>
      </w:r>
    </w:p>
    <w:p>
      <w:pPr>
        <w:pStyle w:val="ListParagraph"/>
        <w:numPr>
          <w:ilvl w:val="0"/>
          <w:numId w:val="1"/>
        </w:numPr>
        <w:spacing w:after="80"/>
      </w:pPr>
      <w:r>
        <w:rPr>
          <w:sz w:val="21"/>
          <w:szCs w:val="21"/>
        </w:rPr>
        <w:t xml:space="preserve">A dedicated local Node.js catch-up script (catchup-script.js) for large, slow-to-process ETFs (AGG, AVEM, BND, BNDX, MBB, IGV, DFAI, IJK, IYLD, RYF, UVXY, VYD)</w:t>
      </w:r>
    </w:p>
    <w:p>
      <w:pPr>
        <w:pStyle w:val="ListParagraph"/>
        <w:numPr>
          <w:ilvl w:val="0"/>
          <w:numId w:val="1"/>
        </w:numPr>
        <w:spacing w:after="80"/>
      </w:pPr>
      <w:r>
        <w:rPr>
          <w:sz w:val="21"/>
          <w:szCs w:val="21"/>
        </w:rPr>
        <w:t xml:space="preserve">Correct reclassification of structurally non-fetchable ETFs (UITs and leveraged/inverse products that file no N-PORT at all) from deep to directory status</w:t>
      </w:r>
    </w:p>
    <w:p>
      <w:pPr>
        <w:spacing w:after="160" w:before="0"/>
      </w:pPr>
      <w:r>
        <w:rPr>
          <w:i/>
          <w:iCs/>
        </w:rPr>
        <w:t xml:space="preserve">Note: the ETF holdings-ingestion batch-size knob (this section, Section 12) is separate from meridian-bootstrap's own BATCH_SIZE parameter (currently 15 as of July 2026, see Section 2.2) — they tune different pipelines.</w:t>
      </w:r>
    </w:p>
    <w:p>
      <w:pPr>
        <w:pStyle w:val="Heading2"/>
        <w:spacing w:after="120" w:before="240"/>
      </w:pPr>
      <w:r>
        <w:rPr>
          <w:b/>
          <w:bCs/>
          <w:sz w:val="24"/>
          <w:szCs w:val="24"/>
        </w:rPr>
        <w:t xml:space="preserve">8.2 Known Data Gaps (structural, not bugs)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3024"/>
        <w:gridCol w:w="4435"/>
      </w:tblGrid>
      <w:tr>
        <w:trPr>
          <w:tblHeader/>
        </w:trPr>
        <w:tc>
          <w:tcPr>
            <w:tcW w:type="dxa" w:w="2621"/>
            <w:shd w:fill="D9E2F3" w:val="clear"/>
            <w:tcMar>
              <w:top w:type="dxa" w:w="80"/>
              <w:left w:type="dxa" w:w="100"/>
              <w:bottom w:type="dxa" w:w="80"/>
              <w:right w:type="dxa" w:w="100"/>
            </w:tcMar>
          </w:tcPr>
          <w:p>
            <w:r>
              <w:rPr>
                <w:b/>
                <w:bCs/>
                <w:sz w:val="20"/>
                <w:szCs w:val="20"/>
              </w:rPr>
              <w:t xml:space="preserve">ETF type</w:t>
            </w:r>
          </w:p>
        </w:tc>
        <w:tc>
          <w:tcPr>
            <w:tcW w:type="dxa" w:w="3024"/>
            <w:shd w:fill="D9E2F3" w:val="clear"/>
            <w:tcMar>
              <w:top w:type="dxa" w:w="80"/>
              <w:left w:type="dxa" w:w="100"/>
              <w:bottom w:type="dxa" w:w="80"/>
              <w:right w:type="dxa" w:w="100"/>
            </w:tcMar>
          </w:tcPr>
          <w:p>
            <w:r>
              <w:rPr>
                <w:b/>
                <w:bCs/>
                <w:sz w:val="20"/>
                <w:szCs w:val="20"/>
              </w:rPr>
              <w:t xml:space="preserve">Example tickers</w:t>
            </w:r>
          </w:p>
        </w:tc>
        <w:tc>
          <w:tcPr>
            <w:tcW w:type="dxa" w:w="4435"/>
            <w:shd w:fill="D9E2F3" w:val="clear"/>
            <w:tcMar>
              <w:top w:type="dxa" w:w="80"/>
              <w:left w:type="dxa" w:w="100"/>
              <w:bottom w:type="dxa" w:w="80"/>
              <w:right w:type="dxa" w:w="100"/>
            </w:tcMar>
          </w:tcPr>
          <w:p>
            <w:r>
              <w:rPr>
                <w:b/>
                <w:bCs/>
                <w:sz w:val="20"/>
                <w:szCs w:val="20"/>
              </w:rPr>
              <w:t xml:space="preserve">Reason</w:t>
            </w:r>
          </w:p>
        </w:tc>
      </w:tr>
      <w:tr>
        <w:tc>
          <w:tcPr>
            <w:tcW w:type="dxa" w:w="2621"/>
            <w:tcMar>
              <w:top w:type="dxa" w:w="80"/>
              <w:left w:type="dxa" w:w="100"/>
              <w:bottom w:type="dxa" w:w="80"/>
              <w:right w:type="dxa" w:w="100"/>
            </w:tcMar>
          </w:tcPr>
          <w:p>
            <w:r>
              <w:rPr>
                <w:sz w:val="20"/>
                <w:szCs w:val="20"/>
              </w:rPr>
              <w:t xml:space="preserve">Unit Investment Trusts</w:t>
            </w:r>
          </w:p>
        </w:tc>
        <w:tc>
          <w:tcPr>
            <w:tcW w:type="dxa" w:w="3024"/>
            <w:tcMar>
              <w:top w:type="dxa" w:w="80"/>
              <w:left w:type="dxa" w:w="100"/>
              <w:bottom w:type="dxa" w:w="80"/>
              <w:right w:type="dxa" w:w="100"/>
            </w:tcMar>
          </w:tcPr>
          <w:p>
            <w:r>
              <w:rPr>
                <w:sz w:val="20"/>
                <w:szCs w:val="20"/>
              </w:rPr>
              <w:t xml:space="preserve">SPY, DIA, MDY</w:t>
            </w:r>
          </w:p>
        </w:tc>
        <w:tc>
          <w:tcPr>
            <w:tcW w:type="dxa" w:w="4435"/>
            <w:tcMar>
              <w:top w:type="dxa" w:w="80"/>
              <w:left w:type="dxa" w:w="100"/>
              <w:bottom w:type="dxa" w:w="80"/>
              <w:right w:type="dxa" w:w="100"/>
            </w:tcMar>
          </w:tcPr>
          <w:p>
            <w:r>
              <w:rPr>
                <w:sz w:val="20"/>
                <w:szCs w:val="20"/>
              </w:rPr>
              <w:t xml:space="preserve">File N-CEN, not N-PORT — no holdings data accessible via this pipeline's data source</w:t>
            </w:r>
          </w:p>
        </w:tc>
      </w:tr>
      <w:tr>
        <w:tc>
          <w:tcPr>
            <w:tcW w:type="dxa" w:w="2621"/>
            <w:tcMar>
              <w:top w:type="dxa" w:w="80"/>
              <w:left w:type="dxa" w:w="100"/>
              <w:bottom w:type="dxa" w:w="80"/>
              <w:right w:type="dxa" w:w="100"/>
            </w:tcMar>
          </w:tcPr>
          <w:p>
            <w:r>
              <w:rPr>
                <w:sz w:val="20"/>
                <w:szCs w:val="20"/>
              </w:rPr>
              <w:t xml:space="preserve">Leveraged/inverse/commodity ETPs</w:t>
            </w:r>
          </w:p>
        </w:tc>
        <w:tc>
          <w:tcPr>
            <w:tcW w:type="dxa" w:w="3024"/>
            <w:tcMar>
              <w:top w:type="dxa" w:w="80"/>
              <w:left w:type="dxa" w:w="100"/>
              <w:bottom w:type="dxa" w:w="80"/>
              <w:right w:type="dxa" w:w="100"/>
            </w:tcMar>
          </w:tcPr>
          <w:p>
            <w:r>
              <w:rPr>
                <w:sz w:val="20"/>
                <w:szCs w:val="20"/>
              </w:rPr>
              <w:t xml:space="preserve">UVXY, RYF, VYD, BITB, DBO, EZBC, FETH</w:t>
            </w:r>
          </w:p>
        </w:tc>
        <w:tc>
          <w:tcPr>
            <w:tcW w:type="dxa" w:w="4435"/>
            <w:tcMar>
              <w:top w:type="dxa" w:w="80"/>
              <w:left w:type="dxa" w:w="100"/>
              <w:bottom w:type="dxa" w:w="80"/>
              <w:right w:type="dxa" w:w="100"/>
            </w:tcMar>
          </w:tcPr>
          <w:p>
            <w:r>
              <w:rPr>
                <w:sz w:val="20"/>
                <w:szCs w:val="20"/>
              </w:rPr>
              <w:t xml:space="preserve">No NPORT-P filings found on EDGAR — confirmed via direct script testing, not assumed</w:t>
            </w:r>
          </w:p>
        </w:tc>
      </w:tr>
      <w:tr>
        <w:tc>
          <w:tcPr>
            <w:tcW w:type="dxa" w:w="2621"/>
            <w:tcMar>
              <w:top w:type="dxa" w:w="80"/>
              <w:left w:type="dxa" w:w="100"/>
              <w:bottom w:type="dxa" w:w="80"/>
              <w:right w:type="dxa" w:w="100"/>
            </w:tcMar>
          </w:tcPr>
          <w:p>
            <w:r>
              <w:rPr>
                <w:sz w:val="20"/>
                <w:szCs w:val="20"/>
              </w:rPr>
              <w:t xml:space="preserve">Invesco QQQ specifically</w:t>
            </w:r>
          </w:p>
        </w:tc>
        <w:tc>
          <w:tcPr>
            <w:tcW w:type="dxa" w:w="3024"/>
            <w:tcMar>
              <w:top w:type="dxa" w:w="80"/>
              <w:left w:type="dxa" w:w="100"/>
              <w:bottom w:type="dxa" w:w="80"/>
              <w:right w:type="dxa" w:w="100"/>
            </w:tcMar>
          </w:tcPr>
          <w:p>
            <w:r>
              <w:rPr>
                <w:sz w:val="20"/>
                <w:szCs w:val="20"/>
              </w:rPr>
              <w:t xml:space="preserve">QQQ</w:t>
            </w:r>
          </w:p>
        </w:tc>
        <w:tc>
          <w:tcPr>
            <w:tcW w:type="dxa" w:w="4435"/>
            <w:tcMar>
              <w:top w:type="dxa" w:w="80"/>
              <w:left w:type="dxa" w:w="100"/>
              <w:bottom w:type="dxa" w:w="80"/>
              <w:right w:type="dxa" w:w="100"/>
            </w:tcMar>
          </w:tcPr>
          <w:p>
            <w:r>
              <w:rPr>
                <w:sz w:val="20"/>
                <w:szCs w:val="20"/>
              </w:rPr>
              <w:t xml:space="preserve">Files under a structure the bootstrap has not yet resolved. QQQM (mini share class) provides equivalent NASDAQ-100 exposure via N-PORT and is fully covered.</w:t>
            </w:r>
          </w:p>
        </w:tc>
      </w:tr>
    </w:tbl>
    <w:p>
      <w:pPr>
        <w:pStyle w:val="Heading2"/>
        <w:spacing w:after="120" w:before="240"/>
      </w:pPr>
      <w:r>
        <w:rPr>
          <w:b/>
          <w:bCs/>
          <w:sz w:val="24"/>
          <w:szCs w:val="24"/>
        </w:rPr>
        <w:t xml:space="preserve">8.3 D1 Write Guard</w:t>
      </w:r>
    </w:p>
    <w:p>
      <w:pPr>
        <w:spacing w:after="160" w:before="0"/>
      </w:pPr>
      <w:r>
        <w:t xml:space="preserve">Hard limit 100,000 writes/day. Self-imposed caution threshold of 75,000-80,000 used throughout the June cycle to preserve headroom for the entities enrichment cron sharing the same daily budget. As of the July Sprint, meridian-holdings runs its own explicit DAILY_WRITE_LIMIT=80,000 guard via holdings_pipeline_state (see Section 2.2). The guard has fired cleanly (no partial-write corruption) on multiple occasions and is considered proven reliable.</w:t>
      </w:r>
    </w:p>
    <w:p>
      <w:pPr>
        <w:pStyle w:val="Heading1"/>
        <w:spacing w:after="180" w:before="360"/>
      </w:pPr>
      <w:r>
        <w:rPr>
          <w:b/>
          <w:bCs/>
          <w:sz w:val="28"/>
          <w:szCs w:val="28"/>
        </w:rPr>
        <w:t xml:space="preserve">9. Module: Corporate Atlas — Entity Identity Layer</w:t>
      </w:r>
    </w:p>
    <w:p>
      <w:pPr>
        <w:spacing w:after="160" w:before="0"/>
      </w:pPr>
      <w:r>
        <w:t xml:space="preserve">Built in v9 (the major build of the June cycle). Extended in the July Sprint with the new Issuer page (Section 9.7).</w:t>
      </w:r>
    </w:p>
    <w:p>
      <w:pPr>
        <w:pStyle w:val="Heading2"/>
        <w:spacing w:after="120" w:before="240"/>
      </w:pPr>
      <w:r>
        <w:rPr>
          <w:b/>
          <w:bCs/>
          <w:sz w:val="24"/>
          <w:szCs w:val="24"/>
        </w:rPr>
        <w:t xml:space="preserve">9.1 Purpose</w:t>
      </w:r>
    </w:p>
    <w:p>
      <w:pPr>
        <w:spacing w:after="160" w:before="0"/>
      </w:pPr>
      <w:r>
        <w:t xml:space="preserve">A canonical entity identity layer linking ETF holdings and 13F positions (NEW — 13F linkage added in the July Sprint) to real-world legal entities via LEI (Legal Entity Identifier) data from GLEIF, the Global LEI Foundation. Every security an ETF holds, and now every 13F position, resolves where possible to an actual legal entity record with verified corporate identity, ownership, and freshness information.</w:t>
      </w:r>
    </w:p>
    <w:p>
      <w:pPr>
        <w:pStyle w:val="Heading2"/>
        <w:spacing w:after="120" w:before="240"/>
      </w:pPr>
      <w:r>
        <w:rPr>
          <w:b/>
          <w:bCs/>
          <w:sz w:val="24"/>
          <w:szCs w:val="24"/>
        </w:rPr>
        <w:t xml:space="preserve">9.2 Data Strategy</w:t>
      </w:r>
    </w:p>
    <w:p>
      <w:pPr>
        <w:spacing w:after="160" w:before="0"/>
      </w:pPr>
      <w:r>
        <w:t xml:space="preserve">A one-time local seed (Mac-only gleif_local.db, built from GLEIF's full public Golden Copy file — 3.3M entities, 8.8M ISIN-LEI pairs) provides instant, rate-limit-free lookups for the vast majority of entity resolution. A live GLEIF API enrichment Worker handles only entities not found in the local seed, and Level 2 ownership-chain data (parent relationships), which is not included in the bulk file and must be fetched per-entity. This enrichment Worker (meridian-entities-enrich) is currently frozen for the duration of the July Sprint — see Section 2.2.</w:t>
      </w:r>
    </w:p>
    <w:p>
      <w:pPr>
        <w:pStyle w:val="Heading2"/>
        <w:spacing w:after="120" w:before="240"/>
      </w:pPr>
      <w:r>
        <w:rPr>
          <w:b/>
          <w:bCs/>
          <w:sz w:val="24"/>
          <w:szCs w:val="24"/>
        </w:rPr>
        <w:t xml:space="preserve">9.3 Entity Detail Page</w:t>
      </w:r>
    </w:p>
    <w:p>
      <w:pPr>
        <w:spacing w:after="160" w:before="0"/>
      </w:pPr>
      <w:r>
        <w:t xml:space="preserve">A dedicated, full-page entity view (not a modal) showing: legal name, LEI, status badges, registered address, headquarters, validation status, freshness badge, identifiers panel, ownership chain (direct/ultimate parent, or Fund Manager for fund-type entities — see 9.4), ETF exposure strip (which ETFs hold this entity, by weight), and a 13F SEC EDGAR search link. Extended in Sprint 3 with Issuer panels for entities with a resolved CIK — see Section 9.7.</w:t>
      </w:r>
    </w:p>
    <w:p>
      <w:pPr>
        <w:pStyle w:val="Heading2"/>
        <w:spacing w:after="120" w:before="240"/>
      </w:pPr>
      <w:r>
        <w:rPr>
          <w:b/>
          <w:bCs/>
          <w:sz w:val="24"/>
          <w:szCs w:val="24"/>
        </w:rPr>
        <w:t xml:space="preserve">9.4 Fund Manager Display</w:t>
      </w:r>
    </w:p>
    <w:p>
      <w:pPr>
        <w:spacing w:after="160" w:before="0"/>
      </w:pPr>
      <w:r>
        <w:t xml:space="preserve">Fund-type entities (ETFs) do not display an inferred ownership chain. Displaying a fund's manager's corporate parent as if it were the fund's own parent was identified as a category error — a fund's true ownership fact is its manager, sourced from entity_relationships WHERE relationship_type = 'fund_manager'. This is shown as its own distinct panel, replacing the Ownership Chain panel for fund-type entities only.</w:t>
      </w:r>
    </w:p>
    <w:p>
      <w:pPr>
        <w:spacing w:after="160" w:before="0"/>
      </w:pPr>
      <w:r>
        <w:t xml:space="preserve">Known limitation, acknowledged: the fund_manager relationship currently points to the SEC EDGAR trust filer name (e.g. "ARK / ARK ETF Trust") rather than the true GLEIF-registered investment management company (e.g. "ARK Investment Management LLC"). Still an open backlog item as of July 23, 2026 — see Section 19, item 4.</w:t>
      </w:r>
    </w:p>
    <w:p>
      <w:pPr>
        <w:pStyle w:val="Heading2"/>
        <w:spacing w:after="120" w:before="240"/>
      </w:pPr>
      <w:r>
        <w:rPr>
          <w:b/>
          <w:bCs/>
          <w:sz w:val="24"/>
          <w:szCs w:val="24"/>
        </w:rPr>
        <w:t xml:space="preserve">9.5 Navigation Entry Points</w:t>
      </w:r>
    </w:p>
    <w:p>
      <w:pPr>
        <w:spacing w:after="160" w:before="0"/>
      </w:pPr>
      <w:r>
        <w:t xml:space="preserve">Three ways to reach an entity's detail page, all converging on the same showEntityDetail function:</w:t>
      </w:r>
    </w:p>
    <w:p>
      <w:pPr>
        <w:pStyle w:val="ListParagraph"/>
        <w:numPr>
          <w:ilvl w:val="0"/>
          <w:numId w:val="1"/>
        </w:numPr>
        <w:spacing w:after="80"/>
      </w:pPr>
      <w:r>
        <w:rPr>
          <w:sz w:val="21"/>
          <w:szCs w:val="21"/>
        </w:rPr>
        <w:t xml:space="preserve">Galaxy node click (within Corporate Atlas's visual entity graph)</w:t>
      </w:r>
    </w:p>
    <w:p>
      <w:pPr>
        <w:pStyle w:val="ListParagraph"/>
        <w:numPr>
          <w:ilvl w:val="0"/>
          <w:numId w:val="1"/>
        </w:numPr>
        <w:spacing w:after="80"/>
      </w:pPr>
      <w:r>
        <w:rPr>
          <w:sz w:val="21"/>
          <w:szCs w:val="21"/>
        </w:rPr>
        <w:t xml:space="preserve">Search result click (global entity search)</w:t>
      </w:r>
    </w:p>
    <w:p>
      <w:pPr>
        <w:pStyle w:val="ListParagraph"/>
        <w:numPr>
          <w:ilvl w:val="0"/>
          <w:numId w:val="1"/>
        </w:numPr>
        <w:spacing w:after="80"/>
      </w:pPr>
      <w:r>
        <w:rPr>
          <w:sz w:val="21"/>
          <w:szCs w:val="21"/>
        </w:rPr>
        <w:t xml:space="preserve">ETF Holdings row icon click — a small "e" icon appears next to any holding row with an ISIN; clicking it resolves the ISIN to an entity and opens an overlay on top of the ETF Holdings panel without destroying it</w:t>
      </w:r>
    </w:p>
    <w:p>
      <w:pPr>
        <w:spacing w:after="160" w:before="0"/>
      </w:pPr>
      <w:r>
        <w:rPr>
          <w:i/>
          <w:iCs/>
        </w:rPr>
        <w:t xml:space="preserve">NEW in Sprint 3: a fourth entry point exists indirectly via the Manager page (ma-13f.js) — clicking a holding's issuer links across to that issuer's entity/Issuer page. Local testing on July 23, 2026 flagged this as possibly broken; investigation found the click handler and data flow were already correct — the real bug was that the newly-opened entity overlay rendered underneath the still-open Manager Page overlay (a z-index stacking issue). Fixed via a shared incrementing z-index counter and independently verified against source and live browser testing the same day — see Section 19, item 12.</w:t>
      </w:r>
    </w:p>
    <w:p>
      <w:pPr>
        <w:pStyle w:val="Heading2"/>
        <w:spacing w:after="120" w:before="240"/>
      </w:pPr>
      <w:r>
        <w:rPr>
          <w:b/>
          <w:bCs/>
          <w:sz w:val="24"/>
          <w:szCs w:val="24"/>
        </w:rPr>
        <w:t xml:space="preserve">9.6 Freshness System</w:t>
      </w:r>
    </w:p>
    <w:p>
      <w:pPr>
        <w:spacing w:after="160" w:before="0"/>
      </w:pPr>
      <w:r>
        <w:t xml:space="preserve">Entities carry a gleif_last_updated timestamp and a computed freshness status: CURRENT (&lt;=90 days), AGEING (91-180 days), STALE (&gt;180 days), or NO DATA (no timestamp at all — explicitly handled, does not default to STALE). This is a separate, entity-specific freshness concept from the ETF module's own freshness badges (see Section 11, and the naming collision incident in Section 7.4).</w:t>
      </w:r>
    </w:p>
    <w:p>
      <w:pPr>
        <w:pStyle w:val="Heading2"/>
        <w:spacing w:after="120" w:before="240"/>
      </w:pPr>
      <w:r>
        <w:rPr>
          <w:b/>
          <w:bCs/>
          <w:sz w:val="24"/>
          <w:szCs w:val="24"/>
        </w:rPr>
        <w:t xml:space="preserve">9.7 Issuer Page (NEW — Sprint 3)</w:t>
      </w:r>
    </w:p>
    <w:p>
      <w:pPr>
        <w:spacing w:after="160" w:before="0"/>
      </w:pPr>
      <w:r>
        <w:t xml:space="preserve">A new panel set on the entity detail page for entities with a resolved CIK, surfacing SEC filing history, reported financials, and material events alongside the existing GLEIF identity data. There is deliberately no separate ma-issuer.js file — the Issuer page extends ma-entities.js via 6 new ent_-prefixed functions (see Section 5's naming-collision rule):</w:t>
      </w:r>
    </w:p>
    <w:p>
      <w:pPr>
        <w:pStyle w:val="ListParagraph"/>
        <w:numPr>
          <w:ilvl w:val="0"/>
          <w:numId w:val="1"/>
        </w:numPr>
        <w:spacing w:after="80"/>
      </w:pPr>
      <w:r>
        <w:rPr>
          <w:sz w:val="21"/>
          <w:szCs w:val="21"/>
        </w:rPr>
        <w:t xml:space="preserve">ent_renderOwnership</w:t>
      </w:r>
    </w:p>
    <w:p>
      <w:pPr>
        <w:pStyle w:val="ListParagraph"/>
        <w:numPr>
          <w:ilvl w:val="0"/>
          <w:numId w:val="1"/>
        </w:numPr>
        <w:spacing w:after="80"/>
      </w:pPr>
      <w:r>
        <w:rPr>
          <w:sz w:val="21"/>
          <w:szCs w:val="21"/>
        </w:rPr>
        <w:t xml:space="preserve">ent_renderFinancials</w:t>
      </w:r>
    </w:p>
    <w:p>
      <w:pPr>
        <w:pStyle w:val="ListParagraph"/>
        <w:numPr>
          <w:ilvl w:val="0"/>
          <w:numId w:val="1"/>
        </w:numPr>
        <w:spacing w:after="80"/>
      </w:pPr>
      <w:r>
        <w:rPr>
          <w:sz w:val="21"/>
          <w:szCs w:val="21"/>
        </w:rPr>
        <w:t xml:space="preserve">ent_renderEvents</w:t>
      </w:r>
    </w:p>
    <w:p>
      <w:pPr>
        <w:pStyle w:val="ListParagraph"/>
        <w:numPr>
          <w:ilvl w:val="0"/>
          <w:numId w:val="1"/>
        </w:numPr>
        <w:spacing w:after="80"/>
      </w:pPr>
      <w:r>
        <w:rPr>
          <w:sz w:val="21"/>
          <w:szCs w:val="21"/>
        </w:rPr>
        <w:t xml:space="preserve">ent_renderFilings</w:t>
      </w:r>
    </w:p>
    <w:p>
      <w:pPr>
        <w:pStyle w:val="ListParagraph"/>
        <w:numPr>
          <w:ilvl w:val="0"/>
          <w:numId w:val="1"/>
        </w:numPr>
        <w:spacing w:after="80"/>
      </w:pPr>
      <w:r>
        <w:rPr>
          <w:sz w:val="21"/>
          <w:szCs w:val="21"/>
        </w:rPr>
        <w:t xml:space="preserve">ent_renderOverlap</w:t>
      </w:r>
    </w:p>
    <w:p>
      <w:pPr>
        <w:pStyle w:val="ListParagraph"/>
        <w:numPr>
          <w:ilvl w:val="0"/>
          <w:numId w:val="1"/>
        </w:numPr>
        <w:spacing w:after="80"/>
      </w:pPr>
      <w:r>
        <w:rPr>
          <w:sz w:val="21"/>
          <w:szCs w:val="21"/>
        </w:rPr>
        <w:t xml:space="preserve">ent_injectIssuerPanels</w:t>
      </w:r>
    </w:p>
    <w:p>
      <w:pPr>
        <w:spacing w:after="160" w:before="0"/>
      </w:pPr>
      <w:r>
        <w:t xml:space="preserve">Supporting changes: showEntityOverlay was extended with a null guard; a new formatValue helper handles financial figure formatting. Backed by a new backend route, /api/entities/:id/issuer-panels, on meridian-entities-api (redeployed as version d0c7e2e0). See Section 17 for the underlying data model.</w:t>
      </w:r>
    </w:p>
    <w:p>
      <w:pPr>
        <w:spacing w:after="160" w:before="0"/>
      </w:pPr>
      <w:r>
        <w:rPr>
          <w:i/>
          <w:iCs/>
        </w:rPr>
        <w:t xml:space="preserve">UX approved at gate S3.12 (July 21, 2026); Architect approved at gate S3.13 (July 21, 2026). Local testing on July 23, 2026 flagged a concern that Issuer panels might not inject correctly from the ETF module's click path — investigated and found non-reproducible (the overlay's DOM write and ent_injectIssuerPanels both run synchronously in the same tick, so there is no timing window for a race). No code change was needed; what was likely observed was Section 9.5's z-index stacking bug (same showEntityOverlay code path) presenting as missing panels. See Section 19, item 14.</w:t>
      </w:r>
    </w:p>
    <w:p>
      <w:pPr>
        <w:pStyle w:val="Heading1"/>
        <w:spacing w:after="180" w:before="360"/>
      </w:pPr>
      <w:r>
        <w:rPr>
          <w:b/>
          <w:bCs/>
          <w:sz w:val="28"/>
          <w:szCs w:val="28"/>
        </w:rPr>
        <w:t xml:space="preserve">10. Module: Ops Visibility Dashboard</w:t>
      </w:r>
    </w:p>
    <w:p>
      <w:pPr>
        <w:spacing w:after="160" w:before="0"/>
      </w:pPr>
      <w:r>
        <w:t xml:space="preserve">Built in v9. Unchanged through the July Sprint at the frontend/dashboard level (ma-ops.js not modified), though its backing entities-api Worker gained a new route unrelated to ops (Section 9.7 / Section 2.2).</w:t>
      </w:r>
    </w:p>
    <w:p>
      <w:pPr>
        <w:spacing w:after="160" w:before="0"/>
      </w:pPr>
      <w:r>
        <w:t xml:space="preserve">A visual operations panel (ma-ops.js), accessible via an "OPS" button in the main navigation, showing real-time pipeline health without needing to run manual D1 queries:</w:t>
      </w:r>
    </w:p>
    <w:p>
      <w:pPr>
        <w:pStyle w:val="ListParagraph"/>
        <w:numPr>
          <w:ilvl w:val="0"/>
          <w:numId w:val="1"/>
        </w:numPr>
        <w:spacing w:after="80"/>
      </w:pPr>
      <w:r>
        <w:rPr>
          <w:sz w:val="21"/>
          <w:szCs w:val="21"/>
        </w:rPr>
        <w:t xml:space="preserve">ETF pipeline progress bar with parsed human-readable status</w:t>
      </w:r>
    </w:p>
    <w:p>
      <w:pPr>
        <w:pStyle w:val="ListParagraph"/>
        <w:numPr>
          <w:ilvl w:val="0"/>
          <w:numId w:val="1"/>
        </w:numPr>
        <w:spacing w:after="80"/>
      </w:pPr>
      <w:r>
        <w:rPr>
          <w:sz w:val="21"/>
          <w:szCs w:val="21"/>
        </w:rPr>
        <w:t xml:space="preserve">D1 write budget gauge (circular arc, color-coded against the 100k limit)</w:t>
      </w:r>
    </w:p>
    <w:p>
      <w:pPr>
        <w:pStyle w:val="ListParagraph"/>
        <w:numPr>
          <w:ilvl w:val="0"/>
          <w:numId w:val="1"/>
        </w:numPr>
        <w:spacing w:after="80"/>
      </w:pPr>
      <w:r>
        <w:rPr>
          <w:sz w:val="21"/>
          <w:szCs w:val="21"/>
        </w:rPr>
        <w:t xml:space="preserve">Read budget gauge (intentionally shows "CHECK_DASHBOARD" — D1 has no self-reported read counter, so this is honestly labelled rather than faked)</w:t>
      </w:r>
    </w:p>
    <w:p>
      <w:pPr>
        <w:pStyle w:val="ListParagraph"/>
        <w:numPr>
          <w:ilvl w:val="0"/>
          <w:numId w:val="1"/>
        </w:numPr>
        <w:spacing w:after="80"/>
      </w:pPr>
      <w:r>
        <w:rPr>
          <w:sz w:val="21"/>
          <w:szCs w:val="21"/>
        </w:rPr>
        <w:t xml:space="preserve">Coverage depth breakdown (no data / 1 month / 2+ months) with proportional bars</w:t>
      </w:r>
    </w:p>
    <w:p>
      <w:pPr>
        <w:pStyle w:val="ListParagraph"/>
        <w:numPr>
          <w:ilvl w:val="0"/>
          <w:numId w:val="1"/>
        </w:numPr>
        <w:spacing w:after="80"/>
      </w:pPr>
      <w:r>
        <w:rPr>
          <w:sz w:val="21"/>
          <w:szCs w:val="21"/>
        </w:rPr>
        <w:t xml:space="preserve">Entity enrichment status (enriched vs pending, stacked bar)</w:t>
      </w:r>
    </w:p>
    <w:p>
      <w:pPr>
        <w:pStyle w:val="ListParagraph"/>
        <w:numPr>
          <w:ilvl w:val="0"/>
          <w:numId w:val="1"/>
        </w:numPr>
        <w:spacing w:after="80"/>
      </w:pPr>
      <w:r>
        <w:rPr>
          <w:sz w:val="21"/>
          <w:szCs w:val="21"/>
        </w:rPr>
        <w:t xml:space="preserve">Bootstrap CIK discovery progress</w:t>
      </w:r>
    </w:p>
    <w:p>
      <w:pPr>
        <w:pStyle w:val="ListParagraph"/>
        <w:numPr>
          <w:ilvl w:val="0"/>
          <w:numId w:val="1"/>
        </w:numPr>
        <w:spacing w:after="80"/>
      </w:pPr>
      <w:r>
        <w:rPr>
          <w:sz w:val="21"/>
          <w:szCs w:val="21"/>
        </w:rPr>
        <w:t xml:space="preserve">Worker status table (active/frozen per Worker) — now showing 3 frozen Workers (meridian-entities-seed, meridian-entities-enrich, meridian-entities-delta) as of the July Sprint</w:t>
      </w:r>
    </w:p>
    <w:p>
      <w:pPr>
        <w:spacing w:after="160" w:before="0"/>
      </w:pPr>
      <w:r>
        <w:t xml:space="preserve">Backed by the /api/ops-health endpoint on meridian-proxy — five lightweight D1 state queries, no full-table scans, Cache-Control: no-store to guarantee freshness.</w:t>
      </w:r>
    </w:p>
    <w:p>
      <w:pPr>
        <w:pStyle w:val="Heading1"/>
        <w:spacing w:after="180" w:before="360"/>
      </w:pPr>
      <w:r>
        <w:rPr>
          <w:b/>
          <w:bCs/>
          <w:sz w:val="28"/>
          <w:szCs w:val="28"/>
        </w:rPr>
        <w:t xml:space="preserve">11. ETF Module — Detailed Changes (June Cycle)</w:t>
      </w:r>
    </w:p>
    <w:p>
      <w:pPr>
        <w:spacing w:after="160" w:before="0"/>
      </w:pPr>
      <w:r>
        <w:rPr>
          <w:i/>
          <w:iCs/>
        </w:rPr>
        <w:t xml:space="preserve">Historical record from the June cycle. ma-etf.js has been unchanged through the July Sprint (see Section 2.1).</w:t>
      </w:r>
    </w:p>
    <w:p>
      <w:pPr>
        <w:pStyle w:val="Heading2"/>
        <w:spacing w:after="120" w:before="240"/>
      </w:pPr>
      <w:r>
        <w:rPr>
          <w:b/>
          <w:bCs/>
          <w:sz w:val="24"/>
          <w:szCs w:val="24"/>
        </w:rPr>
        <w:t xml:space="preserve">11.1 Fixed: STALE badge default on live N-PORT fallback</w:t>
      </w:r>
    </w:p>
    <w:p>
      <w:pPr>
        <w:spacing w:after="160" w:before="0"/>
      </w:pPr>
      <w:r>
        <w:t xml:space="preserve">When ETF holdings are fetched live (not from stored D1 data), the frontend previously defaulted freshness display to 'stale' when no freshness metadata was present. Fixed twice this cycle (two separate code paths carried the same bug independently — Holdings tab and Overview tab each had their own copy of the fallback logic).</w:t>
      </w:r>
    </w:p>
    <w:p>
      <w:pPr>
        <w:pStyle w:val="Heading2"/>
        <w:spacing w:after="120" w:before="240"/>
      </w:pPr>
      <w:r>
        <w:rPr>
          <w:b/>
          <w:bCs/>
          <w:sz w:val="24"/>
          <w:szCs w:val="24"/>
        </w:rPr>
        <w:t xml:space="preserve">11.2 Fixed: BND and other large ETFs' coverage_depth not recalculating</w:t>
      </w:r>
    </w:p>
    <w:p>
      <w:pPr>
        <w:spacing w:after="160" w:before="0"/>
      </w:pPr>
      <w:r>
        <w:t xml:space="preserve">Large ETFs processed via the local catch-up script had their holdings rows written correctly but coverage_depth on etf_master was not automatically recalculated. Fixed via a one-time manual recalculation query; documented as a known gap if the local catch-up script is used again.</w:t>
      </w:r>
    </w:p>
    <w:p>
      <w:pPr>
        <w:pStyle w:val="Heading2"/>
        <w:spacing w:after="120" w:before="240"/>
      </w:pPr>
      <w:r>
        <w:rPr>
          <w:b/>
          <w:bCs/>
          <w:sz w:val="24"/>
          <w:szCs w:val="24"/>
        </w:rPr>
        <w:t xml:space="preserve">11.3 Fixed: CUSIP column placement in bond holdings layout</w:t>
      </w:r>
    </w:p>
    <w:p>
      <w:pPr>
        <w:spacing w:after="160" w:before="0"/>
      </w:pPr>
      <w:r>
        <w:t xml:space="preserve">Bond-layout holdings tables placed the CUSIP identifier as the last column, far from the security name. Moved to immediately follow the security name column, matching the equity layout's ISIN-next-to-name convention.</w:t>
      </w:r>
    </w:p>
    <w:p>
      <w:pPr>
        <w:pStyle w:val="Heading2"/>
        <w:spacing w:after="120" w:before="240"/>
      </w:pPr>
      <w:r>
        <w:rPr>
          <w:b/>
          <w:bCs/>
          <w:sz w:val="24"/>
          <w:szCs w:val="24"/>
        </w:rPr>
        <w:t xml:space="preserve">11.4 Fixed: global function naming collision</w:t>
      </w:r>
    </w:p>
    <w:p>
      <w:pPr>
        <w:spacing w:after="160" w:before="0"/>
      </w:pPr>
      <w:r>
        <w:t xml:space="preserve">See Section 7.4 for full detail. ma-etf.js's own _freshnessBadge function renamed to _etfFreshnessBadge.</w:t>
      </w:r>
    </w:p>
    <w:p>
      <w:pPr>
        <w:pStyle w:val="Heading2"/>
        <w:spacing w:after="120" w:before="240"/>
      </w:pPr>
      <w:r>
        <w:rPr>
          <w:b/>
          <w:bCs/>
          <w:sz w:val="24"/>
          <w:szCs w:val="24"/>
        </w:rPr>
        <w:t xml:space="preserve">11.5 Fixed: launcher modal DOM leak</w:t>
      </w:r>
    </w:p>
    <w:p>
      <w:pPr>
        <w:spacing w:after="160" w:before="0"/>
      </w:pPr>
      <w:r>
        <w:t xml:space="preserve">The ETF launcher modal's content (including its color-key legend) was not cleared from the DOM when the user proceeded to a detail view. Fixed by explicitly clearing the modal container's innerHTML on transition to a detail view.</w:t>
      </w:r>
    </w:p>
    <w:p>
      <w:pPr>
        <w:pStyle w:val="Heading2"/>
        <w:spacing w:after="120" w:before="240"/>
      </w:pPr>
      <w:r>
        <w:rPr>
          <w:b/>
          <w:bCs/>
          <w:sz w:val="24"/>
          <w:szCs w:val="24"/>
        </w:rPr>
        <w:t xml:space="preserve">11.6 Fixed: entity icon click race condition</w:t>
      </w:r>
    </w:p>
    <w:p>
      <w:pPr>
        <w:spacing w:after="160" w:before="0"/>
      </w:pPr>
      <w:r>
        <w:t xml:space="preserve">The ETF Holdings row's entity icon click handler had no fetch-cancellation mechanism, incorrectly opening an entity overlay on top of the wrong ETF's view under fast navigation. Fixed by adding an AbortController, matching the pattern used for the main holdings fetch.</w:t>
      </w:r>
    </w:p>
    <w:p>
      <w:pPr>
        <w:pStyle w:val="Heading1"/>
        <w:spacing w:after="180" w:before="360"/>
      </w:pPr>
      <w:r>
        <w:rPr>
          <w:b/>
          <w:bCs/>
          <w:sz w:val="28"/>
          <w:szCs w:val="28"/>
        </w:rPr>
        <w:t xml:space="preserve">12. ETF Pipeline Batch Size History (for future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016"/>
        <w:gridCol w:w="5846"/>
      </w:tblGrid>
      <w:tr>
        <w:trPr>
          <w:tblHeader/>
        </w:trPr>
        <w:tc>
          <w:tcPr>
            <w:tcW w:type="dxa" w:w="2218"/>
            <w:shd w:fill="D9E2F3" w:val="clear"/>
            <w:tcMar>
              <w:top w:type="dxa" w:w="80"/>
              <w:left w:type="dxa" w:w="100"/>
              <w:bottom w:type="dxa" w:w="80"/>
              <w:right w:type="dxa" w:w="100"/>
            </w:tcMar>
          </w:tcPr>
          <w:p>
            <w:r>
              <w:rPr>
                <w:b/>
                <w:bCs/>
                <w:sz w:val="20"/>
                <w:szCs w:val="20"/>
              </w:rPr>
              <w:t xml:space="preserve">Date</w:t>
            </w:r>
          </w:p>
        </w:tc>
        <w:tc>
          <w:tcPr>
            <w:tcW w:type="dxa" w:w="2016"/>
            <w:shd w:fill="D9E2F3" w:val="clear"/>
            <w:tcMar>
              <w:top w:type="dxa" w:w="80"/>
              <w:left w:type="dxa" w:w="100"/>
              <w:bottom w:type="dxa" w:w="80"/>
              <w:right w:type="dxa" w:w="100"/>
            </w:tcMar>
          </w:tcPr>
          <w:p>
            <w:r>
              <w:rPr>
                <w:b/>
                <w:bCs/>
                <w:sz w:val="20"/>
                <w:szCs w:val="20"/>
              </w:rPr>
              <w:t xml:space="preserve">Batch size</w:t>
            </w:r>
          </w:p>
        </w:tc>
        <w:tc>
          <w:tcPr>
            <w:tcW w:type="dxa" w:w="5846"/>
            <w:shd w:fill="D9E2F3" w:val="clear"/>
            <w:tcMar>
              <w:top w:type="dxa" w:w="80"/>
              <w:left w:type="dxa" w:w="100"/>
              <w:bottom w:type="dxa" w:w="80"/>
              <w:right w:type="dxa" w:w="100"/>
            </w:tcMar>
          </w:tcPr>
          <w:p>
            <w:r>
              <w:rPr>
                <w:b/>
                <w:bCs/>
                <w:sz w:val="20"/>
                <w:szCs w:val="20"/>
              </w:rPr>
              <w:t xml:space="preserve">Reason</w:t>
            </w:r>
          </w:p>
        </w:tc>
      </w:tr>
      <w:tr>
        <w:tc>
          <w:tcPr>
            <w:tcW w:type="dxa" w:w="2218"/>
            <w:tcMar>
              <w:top w:type="dxa" w:w="80"/>
              <w:left w:type="dxa" w:w="100"/>
              <w:bottom w:type="dxa" w:w="80"/>
              <w:right w:type="dxa" w:w="100"/>
            </w:tcMar>
          </w:tcPr>
          <w:p>
            <w:r>
              <w:rPr>
                <w:sz w:val="20"/>
                <w:szCs w:val="20"/>
              </w:rPr>
              <w:t xml:space="preserve">Pre-incident</w:t>
            </w:r>
          </w:p>
        </w:tc>
        <w:tc>
          <w:tcPr>
            <w:tcW w:type="dxa" w:w="2016"/>
            <w:tcMar>
              <w:top w:type="dxa" w:w="80"/>
              <w:left w:type="dxa" w:w="100"/>
              <w:bottom w:type="dxa" w:w="80"/>
              <w:right w:type="dxa" w:w="100"/>
            </w:tcMar>
          </w:tcPr>
          <w:p>
            <w:r>
              <w:rPr>
                <w:sz w:val="20"/>
                <w:szCs w:val="20"/>
              </w:rPr>
              <w:t xml:space="preserve">2</w:t>
            </w:r>
          </w:p>
        </w:tc>
        <w:tc>
          <w:tcPr>
            <w:tcW w:type="dxa" w:w="5846"/>
            <w:tcMar>
              <w:top w:type="dxa" w:w="80"/>
              <w:left w:type="dxa" w:w="100"/>
              <w:bottom w:type="dxa" w:w="80"/>
              <w:right w:type="dxa" w:w="100"/>
            </w:tcMar>
          </w:tcPr>
          <w:p>
            <w:r>
              <w:rPr>
                <w:sz w:val="20"/>
                <w:szCs w:val="20"/>
              </w:rPr>
              <w:t xml:space="preserve">Original conservative default</w:t>
            </w:r>
          </w:p>
        </w:tc>
      </w:tr>
      <w:tr>
        <w:tc>
          <w:tcPr>
            <w:tcW w:type="dxa" w:w="2218"/>
            <w:tcMar>
              <w:top w:type="dxa" w:w="80"/>
              <w:left w:type="dxa" w:w="100"/>
              <w:bottom w:type="dxa" w:w="80"/>
              <w:right w:type="dxa" w:w="100"/>
            </w:tcMar>
          </w:tcPr>
          <w:p>
            <w:r>
              <w:rPr>
                <w:sz w:val="20"/>
                <w:szCs w:val="20"/>
              </w:rPr>
              <w:t xml:space="preserve">2026-06-14</w:t>
            </w:r>
          </w:p>
        </w:tc>
        <w:tc>
          <w:tcPr>
            <w:tcW w:type="dxa" w:w="2016"/>
            <w:tcMar>
              <w:top w:type="dxa" w:w="80"/>
              <w:left w:type="dxa" w:w="100"/>
              <w:bottom w:type="dxa" w:w="80"/>
              <w:right w:type="dxa" w:w="100"/>
            </w:tcMar>
          </w:tcPr>
          <w:p>
            <w:r>
              <w:rPr>
                <w:sz w:val="20"/>
                <w:szCs w:val="20"/>
              </w:rPr>
              <w:t xml:space="preserve">10</w:t>
            </w:r>
          </w:p>
        </w:tc>
        <w:tc>
          <w:tcPr>
            <w:tcW w:type="dxa" w:w="5846"/>
            <w:tcMar>
              <w:top w:type="dxa" w:w="80"/>
              <w:left w:type="dxa" w:w="100"/>
              <w:bottom w:type="dxa" w:w="80"/>
              <w:right w:type="dxa" w:w="100"/>
            </w:tcMar>
          </w:tcPr>
          <w:p>
            <w:r>
              <w:rPr>
                <w:sz w:val="20"/>
                <w:szCs w:val="20"/>
              </w:rPr>
              <w:t xml:space="preserve">Raised after June 13 incident recovery, with write guard active</w:t>
            </w:r>
          </w:p>
        </w:tc>
      </w:tr>
      <w:tr>
        <w:tc>
          <w:tcPr>
            <w:tcW w:type="dxa" w:w="2218"/>
            <w:tcMar>
              <w:top w:type="dxa" w:w="80"/>
              <w:left w:type="dxa" w:w="100"/>
              <w:bottom w:type="dxa" w:w="80"/>
              <w:right w:type="dxa" w:w="100"/>
            </w:tcMar>
          </w:tcPr>
          <w:p>
            <w:r>
              <w:rPr>
                <w:sz w:val="20"/>
                <w:szCs w:val="20"/>
              </w:rPr>
              <w:t xml:space="preserve">2026-06-16</w:t>
            </w:r>
          </w:p>
        </w:tc>
        <w:tc>
          <w:tcPr>
            <w:tcW w:type="dxa" w:w="2016"/>
            <w:tcMar>
              <w:top w:type="dxa" w:w="80"/>
              <w:left w:type="dxa" w:w="100"/>
              <w:bottom w:type="dxa" w:w="80"/>
              <w:right w:type="dxa" w:w="100"/>
            </w:tcMar>
          </w:tcPr>
          <w:p>
            <w:r>
              <w:rPr>
                <w:sz w:val="20"/>
                <w:szCs w:val="20"/>
              </w:rPr>
              <w:t xml:space="preserve">20</w:t>
            </w:r>
          </w:p>
        </w:tc>
        <w:tc>
          <w:tcPr>
            <w:tcW w:type="dxa" w:w="5846"/>
            <w:tcMar>
              <w:top w:type="dxa" w:w="80"/>
              <w:left w:type="dxa" w:w="100"/>
              <w:bottom w:type="dxa" w:w="80"/>
              <w:right w:type="dxa" w:w="100"/>
            </w:tcMar>
          </w:tcPr>
          <w:p>
            <w:r>
              <w:rPr>
                <w:sz w:val="20"/>
                <w:szCs w:val="20"/>
              </w:rPr>
              <w:t xml:space="preserve">Acceleration push, all leads approved</w:t>
            </w:r>
          </w:p>
        </w:tc>
      </w:tr>
      <w:tr>
        <w:tc>
          <w:tcPr>
            <w:tcW w:type="dxa" w:w="2218"/>
            <w:tcMar>
              <w:top w:type="dxa" w:w="80"/>
              <w:left w:type="dxa" w:w="100"/>
              <w:bottom w:type="dxa" w:w="80"/>
              <w:right w:type="dxa" w:w="100"/>
            </w:tcMar>
          </w:tcPr>
          <w:p>
            <w:r>
              <w:rPr>
                <w:sz w:val="20"/>
                <w:szCs w:val="20"/>
              </w:rPr>
              <w:t xml:space="preserve">2026-06-16 (same day)</w:t>
            </w:r>
          </w:p>
        </w:tc>
        <w:tc>
          <w:tcPr>
            <w:tcW w:type="dxa" w:w="2016"/>
            <w:tcMar>
              <w:top w:type="dxa" w:w="80"/>
              <w:left w:type="dxa" w:w="100"/>
              <w:bottom w:type="dxa" w:w="80"/>
              <w:right w:type="dxa" w:w="100"/>
            </w:tcMar>
          </w:tcPr>
          <w:p>
            <w:r>
              <w:rPr>
                <w:sz w:val="20"/>
                <w:szCs w:val="20"/>
              </w:rPr>
              <w:t xml:space="preserve">15</w:t>
            </w:r>
          </w:p>
        </w:tc>
        <w:tc>
          <w:tcPr>
            <w:tcW w:type="dxa" w:w="5846"/>
            <w:tcMar>
              <w:top w:type="dxa" w:w="80"/>
              <w:left w:type="dxa" w:w="100"/>
              <w:bottom w:type="dxa" w:w="80"/>
              <w:right w:type="dxa" w:w="100"/>
            </w:tcMar>
          </w:tcPr>
          <w:p>
            <w:r>
              <w:rPr>
                <w:sz w:val="20"/>
                <w:szCs w:val="20"/>
              </w:rPr>
              <w:t xml:space="preserve">Dropped after a write-guard trigger event, for overnight headroom</w:t>
            </w:r>
          </w:p>
        </w:tc>
      </w:tr>
      <w:tr>
        <w:tc>
          <w:tcPr>
            <w:tcW w:type="dxa" w:w="2218"/>
            <w:tcMar>
              <w:top w:type="dxa" w:w="80"/>
              <w:left w:type="dxa" w:w="100"/>
              <w:bottom w:type="dxa" w:w="80"/>
              <w:right w:type="dxa" w:w="100"/>
            </w:tcMar>
          </w:tcPr>
          <w:p>
            <w:r>
              <w:rPr>
                <w:sz w:val="20"/>
                <w:szCs w:val="20"/>
              </w:rPr>
              <w:t xml:space="preserve">2026-06-17</w:t>
            </w:r>
          </w:p>
        </w:tc>
        <w:tc>
          <w:tcPr>
            <w:tcW w:type="dxa" w:w="2016"/>
            <w:tcMar>
              <w:top w:type="dxa" w:w="80"/>
              <w:left w:type="dxa" w:w="100"/>
              <w:bottom w:type="dxa" w:w="80"/>
              <w:right w:type="dxa" w:w="100"/>
            </w:tcMar>
          </w:tcPr>
          <w:p>
            <w:r>
              <w:rPr>
                <w:sz w:val="20"/>
                <w:szCs w:val="20"/>
              </w:rPr>
              <w:t xml:space="preserve">20</w:t>
            </w:r>
          </w:p>
        </w:tc>
        <w:tc>
          <w:tcPr>
            <w:tcW w:type="dxa" w:w="5846"/>
            <w:tcMar>
              <w:top w:type="dxa" w:w="80"/>
              <w:left w:type="dxa" w:w="100"/>
              <w:bottom w:type="dxa" w:w="80"/>
              <w:right w:type="dxa" w:w="100"/>
            </w:tcMar>
          </w:tcPr>
          <w:p>
            <w:r>
              <w:rPr>
                <w:sz w:val="20"/>
                <w:szCs w:val="20"/>
              </w:rPr>
              <w:t xml:space="preserve">Restored once enrichment cron load was better understood</w:t>
            </w:r>
          </w:p>
        </w:tc>
      </w:tr>
      <w:tr>
        <w:tc>
          <w:tcPr>
            <w:tcW w:type="dxa" w:w="2218"/>
            <w:tcMar>
              <w:top w:type="dxa" w:w="80"/>
              <w:left w:type="dxa" w:w="100"/>
              <w:bottom w:type="dxa" w:w="80"/>
              <w:right w:type="dxa" w:w="100"/>
            </w:tcMar>
          </w:tcPr>
          <w:p>
            <w:r>
              <w:rPr>
                <w:sz w:val="20"/>
                <w:szCs w:val="20"/>
              </w:rPr>
              <w:t xml:space="preserve">2026-06-20</w:t>
            </w:r>
          </w:p>
        </w:tc>
        <w:tc>
          <w:tcPr>
            <w:tcW w:type="dxa" w:w="2016"/>
            <w:tcMar>
              <w:top w:type="dxa" w:w="80"/>
              <w:left w:type="dxa" w:w="100"/>
              <w:bottom w:type="dxa" w:w="80"/>
              <w:right w:type="dxa" w:w="100"/>
            </w:tcMar>
          </w:tcPr>
          <w:p>
            <w:r>
              <w:rPr>
                <w:sz w:val="20"/>
                <w:szCs w:val="20"/>
              </w:rPr>
              <w:t xml:space="preserve">30</w:t>
            </w:r>
          </w:p>
        </w:tc>
        <w:tc>
          <w:tcPr>
            <w:tcW w:type="dxa" w:w="5846"/>
            <w:tcMar>
              <w:top w:type="dxa" w:w="80"/>
              <w:left w:type="dxa" w:w="100"/>
              <w:bottom w:type="dxa" w:w="80"/>
              <w:right w:type="dxa" w:w="100"/>
            </w:tcMar>
          </w:tcPr>
          <w:p>
            <w:r>
              <w:rPr>
                <w:sz w:val="20"/>
                <w:szCs w:val="20"/>
              </w:rPr>
              <w:t xml:space="preserve">Temporary, single-day push to clear the last ~14 ETFs toward the Phase 3 gate</w:t>
            </w:r>
          </w:p>
        </w:tc>
      </w:tr>
      <w:tr>
        <w:tc>
          <w:tcPr>
            <w:tcW w:type="dxa" w:w="2218"/>
            <w:tcMar>
              <w:top w:type="dxa" w:w="80"/>
              <w:left w:type="dxa" w:w="100"/>
              <w:bottom w:type="dxa" w:w="80"/>
              <w:right w:type="dxa" w:w="100"/>
            </w:tcMar>
          </w:tcPr>
          <w:p>
            <w:r>
              <w:rPr>
                <w:sz w:val="20"/>
                <w:szCs w:val="20"/>
              </w:rPr>
              <w:t xml:space="preserve">2026-06-20 (later)</w:t>
            </w:r>
          </w:p>
        </w:tc>
        <w:tc>
          <w:tcPr>
            <w:tcW w:type="dxa" w:w="2016"/>
            <w:tcMar>
              <w:top w:type="dxa" w:w="80"/>
              <w:left w:type="dxa" w:w="100"/>
              <w:bottom w:type="dxa" w:w="80"/>
              <w:right w:type="dxa" w:w="100"/>
            </w:tcMar>
          </w:tcPr>
          <w:p>
            <w:r>
              <w:rPr>
                <w:sz w:val="20"/>
                <w:szCs w:val="20"/>
              </w:rPr>
              <w:t xml:space="preserve">20</w:t>
            </w:r>
          </w:p>
        </w:tc>
        <w:tc>
          <w:tcPr>
            <w:tcW w:type="dxa" w:w="5846"/>
            <w:tcMar>
              <w:top w:type="dxa" w:w="80"/>
              <w:left w:type="dxa" w:w="100"/>
              <w:bottom w:type="dxa" w:w="80"/>
              <w:right w:type="dxa" w:w="100"/>
            </w:tcMar>
          </w:tcPr>
          <w:p>
            <w:r>
              <w:rPr>
                <w:sz w:val="20"/>
                <w:szCs w:val="20"/>
              </w:rPr>
              <w:t xml:space="preserve">Returned to steady-state after the push completed</w:t>
            </w:r>
          </w:p>
        </w:tc>
      </w:tr>
    </w:tbl>
    <w:p>
      <w:pPr>
        <w:spacing w:after="160" w:before="0"/>
      </w:pPr>
      <w:r>
        <w:rPr>
          <w:i/>
          <w:iCs/>
        </w:rPr>
        <w:t xml:space="preserve">Lesson recorded: every batch size change this cycle was made with an explicit write-budget projection checked beforehand, and reverted to a conservative steady-state value once its specific purpose was served. This table tracks the fund_holdings_monthly ingestion pipeline (meridian-holdings) specifically; meridian-bootstrap uses a separate BATCH_SIZE parameter, currently 15 as of July 2026 (Section 2.2).</w:t>
      </w:r>
    </w:p>
    <w:p>
      <w:pPr>
        <w:pStyle w:val="Heading1"/>
        <w:spacing w:after="180" w:before="360"/>
      </w:pPr>
      <w:r>
        <w:rPr>
          <w:b/>
          <w:bCs/>
          <w:sz w:val="28"/>
          <w:szCs w:val="28"/>
        </w:rPr>
        <w:t xml:space="preserve">13. Asset Category Reference (unchanged since v8)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024"/>
        <w:gridCol w:w="4838"/>
      </w:tblGrid>
      <w:tr>
        <w:trPr>
          <w:tblHeader/>
        </w:trPr>
        <w:tc>
          <w:tcPr>
            <w:tcW w:type="dxa" w:w="2218"/>
            <w:shd w:fill="D9E2F3" w:val="clear"/>
            <w:tcMar>
              <w:top w:type="dxa" w:w="80"/>
              <w:left w:type="dxa" w:w="100"/>
              <w:bottom w:type="dxa" w:w="80"/>
              <w:right w:type="dxa" w:w="100"/>
            </w:tcMar>
          </w:tcPr>
          <w:p>
            <w:r>
              <w:rPr>
                <w:b/>
                <w:bCs/>
                <w:sz w:val="20"/>
                <w:szCs w:val="20"/>
              </w:rPr>
              <w:t xml:space="preserve">asset_cat value</w:t>
            </w:r>
          </w:p>
        </w:tc>
        <w:tc>
          <w:tcPr>
            <w:tcW w:type="dxa" w:w="3024"/>
            <w:shd w:fill="D9E2F3" w:val="clear"/>
            <w:tcMar>
              <w:top w:type="dxa" w:w="80"/>
              <w:left w:type="dxa" w:w="100"/>
              <w:bottom w:type="dxa" w:w="80"/>
              <w:right w:type="dxa" w:w="100"/>
            </w:tcMar>
          </w:tcPr>
          <w:p>
            <w:r>
              <w:rPr>
                <w:b/>
                <w:bCs/>
                <w:sz w:val="20"/>
                <w:szCs w:val="20"/>
              </w:rPr>
              <w:t xml:space="preserve">Display label</w:t>
            </w:r>
          </w:p>
        </w:tc>
        <w:tc>
          <w:tcPr>
            <w:tcW w:type="dxa" w:w="4838"/>
            <w:shd w:fill="D9E2F3" w:val="clear"/>
            <w:tcMar>
              <w:top w:type="dxa" w:w="80"/>
              <w:left w:type="dxa" w:w="100"/>
              <w:bottom w:type="dxa" w:w="80"/>
              <w:right w:type="dxa" w:w="100"/>
            </w:tcMar>
          </w:tcPr>
          <w:p>
            <w:r>
              <w:rPr>
                <w:b/>
                <w:bCs/>
                <w:sz w:val="20"/>
                <w:szCs w:val="20"/>
              </w:rPr>
              <w:t xml:space="preserve">Description</w:t>
            </w:r>
          </w:p>
        </w:tc>
      </w:tr>
      <w:tr>
        <w:tc>
          <w:tcPr>
            <w:tcW w:type="dxa" w:w="2218"/>
            <w:tcMar>
              <w:top w:type="dxa" w:w="80"/>
              <w:left w:type="dxa" w:w="100"/>
              <w:bottom w:type="dxa" w:w="80"/>
              <w:right w:type="dxa" w:w="100"/>
            </w:tcMar>
          </w:tcPr>
          <w:p>
            <w:r>
              <w:rPr>
                <w:sz w:val="20"/>
                <w:szCs w:val="20"/>
              </w:rPr>
              <w:t xml:space="preserve">EC</w:t>
            </w:r>
          </w:p>
        </w:tc>
        <w:tc>
          <w:tcPr>
            <w:tcW w:type="dxa" w:w="3024"/>
            <w:tcMar>
              <w:top w:type="dxa" w:w="80"/>
              <w:left w:type="dxa" w:w="100"/>
              <w:bottom w:type="dxa" w:w="80"/>
              <w:right w:type="dxa" w:w="100"/>
            </w:tcMar>
          </w:tcPr>
          <w:p>
            <w:r>
              <w:rPr>
                <w:sz w:val="20"/>
                <w:szCs w:val="20"/>
              </w:rPr>
              <w:t xml:space="preserve">Equity</w:t>
            </w:r>
          </w:p>
        </w:tc>
        <w:tc>
          <w:tcPr>
            <w:tcW w:type="dxa" w:w="4838"/>
            <w:tcMar>
              <w:top w:type="dxa" w:w="80"/>
              <w:left w:type="dxa" w:w="100"/>
              <w:bottom w:type="dxa" w:w="80"/>
              <w:right w:type="dxa" w:w="100"/>
            </w:tcMar>
          </w:tcPr>
          <w:p>
            <w:r>
              <w:rPr>
                <w:sz w:val="20"/>
                <w:szCs w:val="20"/>
              </w:rPr>
              <w:t xml:space="preserve">Common equity</w:t>
            </w:r>
          </w:p>
        </w:tc>
      </w:tr>
      <w:tr>
        <w:tc>
          <w:tcPr>
            <w:tcW w:type="dxa" w:w="2218"/>
            <w:tcMar>
              <w:top w:type="dxa" w:w="80"/>
              <w:left w:type="dxa" w:w="100"/>
              <w:bottom w:type="dxa" w:w="80"/>
              <w:right w:type="dxa" w:w="100"/>
            </w:tcMar>
          </w:tcPr>
          <w:p>
            <w:r>
              <w:rPr>
                <w:sz w:val="20"/>
                <w:szCs w:val="20"/>
              </w:rPr>
              <w:t xml:space="preserve">DE</w:t>
            </w:r>
          </w:p>
        </w:tc>
        <w:tc>
          <w:tcPr>
            <w:tcW w:type="dxa" w:w="3024"/>
            <w:tcMar>
              <w:top w:type="dxa" w:w="80"/>
              <w:left w:type="dxa" w:w="100"/>
              <w:bottom w:type="dxa" w:w="80"/>
              <w:right w:type="dxa" w:w="100"/>
            </w:tcMar>
          </w:tcPr>
          <w:p>
            <w:r>
              <w:rPr>
                <w:sz w:val="20"/>
                <w:szCs w:val="20"/>
              </w:rPr>
              <w:t xml:space="preserve">Depositary receipt</w:t>
            </w:r>
          </w:p>
        </w:tc>
        <w:tc>
          <w:tcPr>
            <w:tcW w:type="dxa" w:w="4838"/>
            <w:tcMar>
              <w:top w:type="dxa" w:w="80"/>
              <w:left w:type="dxa" w:w="100"/>
              <w:bottom w:type="dxa" w:w="80"/>
              <w:right w:type="dxa" w:w="100"/>
            </w:tcMar>
          </w:tcPr>
          <w:p>
            <w:r>
              <w:rPr>
                <w:sz w:val="20"/>
                <w:szCs w:val="20"/>
              </w:rPr>
              <w:t xml:space="preserve">ADRs and GDRs</w:t>
            </w:r>
          </w:p>
        </w:tc>
      </w:tr>
      <w:tr>
        <w:tc>
          <w:tcPr>
            <w:tcW w:type="dxa" w:w="2218"/>
            <w:tcMar>
              <w:top w:type="dxa" w:w="80"/>
              <w:left w:type="dxa" w:w="100"/>
              <w:bottom w:type="dxa" w:w="80"/>
              <w:right w:type="dxa" w:w="100"/>
            </w:tcMar>
          </w:tcPr>
          <w:p>
            <w:r>
              <w:rPr>
                <w:sz w:val="20"/>
                <w:szCs w:val="20"/>
              </w:rPr>
              <w:t xml:space="preserve">EP</w:t>
            </w:r>
          </w:p>
        </w:tc>
        <w:tc>
          <w:tcPr>
            <w:tcW w:type="dxa" w:w="3024"/>
            <w:tcMar>
              <w:top w:type="dxa" w:w="80"/>
              <w:left w:type="dxa" w:w="100"/>
              <w:bottom w:type="dxa" w:w="80"/>
              <w:right w:type="dxa" w:w="100"/>
            </w:tcMar>
          </w:tcPr>
          <w:p>
            <w:r>
              <w:rPr>
                <w:sz w:val="20"/>
                <w:szCs w:val="20"/>
              </w:rPr>
              <w:t xml:space="preserve">Equity (preferred)</w:t>
            </w:r>
          </w:p>
        </w:tc>
        <w:tc>
          <w:tcPr>
            <w:tcW w:type="dxa" w:w="4838"/>
            <w:tcMar>
              <w:top w:type="dxa" w:w="80"/>
              <w:left w:type="dxa" w:w="100"/>
              <w:bottom w:type="dxa" w:w="80"/>
              <w:right w:type="dxa" w:w="100"/>
            </w:tcMar>
          </w:tcPr>
          <w:p>
            <w:r>
              <w:rPr>
                <w:sz w:val="20"/>
                <w:szCs w:val="20"/>
              </w:rPr>
              <w:t xml:space="preserve">Preferred shares</w:t>
            </w:r>
          </w:p>
        </w:tc>
      </w:tr>
      <w:tr>
        <w:tc>
          <w:tcPr>
            <w:tcW w:type="dxa" w:w="2218"/>
            <w:tcMar>
              <w:top w:type="dxa" w:w="80"/>
              <w:left w:type="dxa" w:w="100"/>
              <w:bottom w:type="dxa" w:w="80"/>
              <w:right w:type="dxa" w:w="100"/>
            </w:tcMar>
          </w:tcPr>
          <w:p>
            <w:r>
              <w:rPr>
                <w:sz w:val="20"/>
                <w:szCs w:val="20"/>
              </w:rPr>
              <w:t xml:space="preserve">DBT</w:t>
            </w:r>
          </w:p>
        </w:tc>
        <w:tc>
          <w:tcPr>
            <w:tcW w:type="dxa" w:w="3024"/>
            <w:tcMar>
              <w:top w:type="dxa" w:w="80"/>
              <w:left w:type="dxa" w:w="100"/>
              <w:bottom w:type="dxa" w:w="80"/>
              <w:right w:type="dxa" w:w="100"/>
            </w:tcMar>
          </w:tcPr>
          <w:p>
            <w:r>
              <w:rPr>
                <w:sz w:val="20"/>
                <w:szCs w:val="20"/>
              </w:rPr>
              <w:t xml:space="preserve">Bond</w:t>
            </w:r>
          </w:p>
        </w:tc>
        <w:tc>
          <w:tcPr>
            <w:tcW w:type="dxa" w:w="4838"/>
            <w:tcMar>
              <w:top w:type="dxa" w:w="80"/>
              <w:left w:type="dxa" w:w="100"/>
              <w:bottom w:type="dxa" w:w="80"/>
              <w:right w:type="dxa" w:w="100"/>
            </w:tcMar>
          </w:tcPr>
          <w:p>
            <w:r>
              <w:rPr>
                <w:sz w:val="20"/>
                <w:szCs w:val="20"/>
              </w:rPr>
              <w:t xml:space="preserve">Debt instruments</w:t>
            </w:r>
          </w:p>
        </w:tc>
      </w:tr>
      <w:tr>
        <w:tc>
          <w:tcPr>
            <w:tcW w:type="dxa" w:w="2218"/>
            <w:tcMar>
              <w:top w:type="dxa" w:w="80"/>
              <w:left w:type="dxa" w:w="100"/>
              <w:bottom w:type="dxa" w:w="80"/>
              <w:right w:type="dxa" w:w="100"/>
            </w:tcMar>
          </w:tcPr>
          <w:p>
            <w:r>
              <w:rPr>
                <w:sz w:val="20"/>
                <w:szCs w:val="20"/>
              </w:rPr>
              <w:t xml:space="preserve">ABS-MBS</w:t>
            </w:r>
          </w:p>
        </w:tc>
        <w:tc>
          <w:tcPr>
            <w:tcW w:type="dxa" w:w="3024"/>
            <w:tcMar>
              <w:top w:type="dxa" w:w="80"/>
              <w:left w:type="dxa" w:w="100"/>
              <w:bottom w:type="dxa" w:w="80"/>
              <w:right w:type="dxa" w:w="100"/>
            </w:tcMar>
          </w:tcPr>
          <w:p>
            <w:r>
              <w:rPr>
                <w:sz w:val="20"/>
                <w:szCs w:val="20"/>
              </w:rPr>
              <w:t xml:space="preserve">Mortgage-backed</w:t>
            </w:r>
          </w:p>
        </w:tc>
        <w:tc>
          <w:tcPr>
            <w:tcW w:type="dxa" w:w="4838"/>
            <w:tcMar>
              <w:top w:type="dxa" w:w="80"/>
              <w:left w:type="dxa" w:w="100"/>
              <w:bottom w:type="dxa" w:w="80"/>
              <w:right w:type="dxa" w:w="100"/>
            </w:tcMar>
          </w:tcPr>
          <w:p>
            <w:r>
              <w:rPr>
                <w:sz w:val="20"/>
                <w:szCs w:val="20"/>
              </w:rPr>
              <w:t xml:space="preserve">Mortgage-backed securities</w:t>
            </w:r>
          </w:p>
        </w:tc>
      </w:tr>
      <w:tr>
        <w:tc>
          <w:tcPr>
            <w:tcW w:type="dxa" w:w="2218"/>
            <w:tcMar>
              <w:top w:type="dxa" w:w="80"/>
              <w:left w:type="dxa" w:w="100"/>
              <w:bottom w:type="dxa" w:w="80"/>
              <w:right w:type="dxa" w:w="100"/>
            </w:tcMar>
          </w:tcPr>
          <w:p>
            <w:r>
              <w:rPr>
                <w:sz w:val="20"/>
                <w:szCs w:val="20"/>
              </w:rPr>
              <w:t xml:space="preserve">ABS-O</w:t>
            </w:r>
          </w:p>
        </w:tc>
        <w:tc>
          <w:tcPr>
            <w:tcW w:type="dxa" w:w="3024"/>
            <w:tcMar>
              <w:top w:type="dxa" w:w="80"/>
              <w:left w:type="dxa" w:w="100"/>
              <w:bottom w:type="dxa" w:w="80"/>
              <w:right w:type="dxa" w:w="100"/>
            </w:tcMar>
          </w:tcPr>
          <w:p>
            <w:r>
              <w:rPr>
                <w:sz w:val="20"/>
                <w:szCs w:val="20"/>
              </w:rPr>
              <w:t xml:space="preserve">Asset-backed</w:t>
            </w:r>
          </w:p>
        </w:tc>
        <w:tc>
          <w:tcPr>
            <w:tcW w:type="dxa" w:w="4838"/>
            <w:tcMar>
              <w:top w:type="dxa" w:w="80"/>
              <w:left w:type="dxa" w:w="100"/>
              <w:bottom w:type="dxa" w:w="80"/>
              <w:right w:type="dxa" w:w="100"/>
            </w:tcMar>
          </w:tcPr>
          <w:p>
            <w:r>
              <w:rPr>
                <w:sz w:val="20"/>
                <w:szCs w:val="20"/>
              </w:rPr>
              <w:t xml:space="preserve">Other asset-backed securities</w:t>
            </w:r>
          </w:p>
        </w:tc>
      </w:tr>
      <w:tr>
        <w:tc>
          <w:tcPr>
            <w:tcW w:type="dxa" w:w="2218"/>
            <w:tcMar>
              <w:top w:type="dxa" w:w="80"/>
              <w:left w:type="dxa" w:w="100"/>
              <w:bottom w:type="dxa" w:w="80"/>
              <w:right w:type="dxa" w:w="100"/>
            </w:tcMar>
          </w:tcPr>
          <w:p>
            <w:r>
              <w:rPr>
                <w:sz w:val="20"/>
                <w:szCs w:val="20"/>
              </w:rPr>
              <w:t xml:space="preserve">STIV</w:t>
            </w:r>
          </w:p>
        </w:tc>
        <w:tc>
          <w:tcPr>
            <w:tcW w:type="dxa" w:w="3024"/>
            <w:tcMar>
              <w:top w:type="dxa" w:w="80"/>
              <w:left w:type="dxa" w:w="100"/>
              <w:bottom w:type="dxa" w:w="80"/>
              <w:right w:type="dxa" w:w="100"/>
            </w:tcMar>
          </w:tcPr>
          <w:p>
            <w:r>
              <w:rPr>
                <w:sz w:val="20"/>
                <w:szCs w:val="20"/>
              </w:rPr>
              <w:t xml:space="preserve">Short-term</w:t>
            </w:r>
          </w:p>
        </w:tc>
        <w:tc>
          <w:tcPr>
            <w:tcW w:type="dxa" w:w="4838"/>
            <w:tcMar>
              <w:top w:type="dxa" w:w="80"/>
              <w:left w:type="dxa" w:w="100"/>
              <w:bottom w:type="dxa" w:w="80"/>
              <w:right w:type="dxa" w:w="100"/>
            </w:tcMar>
          </w:tcPr>
          <w:p>
            <w:r>
              <w:rPr>
                <w:sz w:val="20"/>
                <w:szCs w:val="20"/>
              </w:rPr>
              <w:t xml:space="preserve">T-bills and short-term instruments</w:t>
            </w:r>
          </w:p>
        </w:tc>
      </w:tr>
      <w:tr>
        <w:tc>
          <w:tcPr>
            <w:tcW w:type="dxa" w:w="2218"/>
            <w:tcMar>
              <w:top w:type="dxa" w:w="80"/>
              <w:left w:type="dxa" w:w="100"/>
              <w:bottom w:type="dxa" w:w="80"/>
              <w:right w:type="dxa" w:w="100"/>
            </w:tcMar>
          </w:tcPr>
          <w:p>
            <w:r>
              <w:rPr>
                <w:sz w:val="20"/>
                <w:szCs w:val="20"/>
              </w:rPr>
              <w:t xml:space="preserve">LON</w:t>
            </w:r>
          </w:p>
        </w:tc>
        <w:tc>
          <w:tcPr>
            <w:tcW w:type="dxa" w:w="3024"/>
            <w:tcMar>
              <w:top w:type="dxa" w:w="80"/>
              <w:left w:type="dxa" w:w="100"/>
              <w:bottom w:type="dxa" w:w="80"/>
              <w:right w:type="dxa" w:w="100"/>
            </w:tcMar>
          </w:tcPr>
          <w:p>
            <w:r>
              <w:rPr>
                <w:sz w:val="20"/>
                <w:szCs w:val="20"/>
              </w:rPr>
              <w:t xml:space="preserve">Loan</w:t>
            </w:r>
          </w:p>
        </w:tc>
        <w:tc>
          <w:tcPr>
            <w:tcW w:type="dxa" w:w="4838"/>
            <w:tcMar>
              <w:top w:type="dxa" w:w="80"/>
              <w:left w:type="dxa" w:w="100"/>
              <w:bottom w:type="dxa" w:w="80"/>
              <w:right w:type="dxa" w:w="100"/>
            </w:tcMar>
          </w:tcPr>
          <w:p>
            <w:r>
              <w:rPr>
                <w:sz w:val="20"/>
                <w:szCs w:val="20"/>
              </w:rPr>
              <w:t xml:space="preserve">Loan instruments</w:t>
            </w:r>
          </w:p>
        </w:tc>
      </w:tr>
      <w:tr>
        <w:tc>
          <w:tcPr>
            <w:tcW w:type="dxa" w:w="2218"/>
            <w:tcMar>
              <w:top w:type="dxa" w:w="80"/>
              <w:left w:type="dxa" w:w="100"/>
              <w:bottom w:type="dxa" w:w="80"/>
              <w:right w:type="dxa" w:w="100"/>
            </w:tcMar>
          </w:tcPr>
          <w:p>
            <w:r>
              <w:rPr>
                <w:sz w:val="20"/>
                <w:szCs w:val="20"/>
              </w:rPr>
              <w:t xml:space="preserve">RA</w:t>
            </w:r>
          </w:p>
        </w:tc>
        <w:tc>
          <w:tcPr>
            <w:tcW w:type="dxa" w:w="3024"/>
            <w:tcMar>
              <w:top w:type="dxa" w:w="80"/>
              <w:left w:type="dxa" w:w="100"/>
              <w:bottom w:type="dxa" w:w="80"/>
              <w:right w:type="dxa" w:w="100"/>
            </w:tcMar>
          </w:tcPr>
          <w:p>
            <w:r>
              <w:rPr>
                <w:sz w:val="20"/>
                <w:szCs w:val="20"/>
              </w:rPr>
              <w:t xml:space="preserve">Repurchase agreement</w:t>
            </w:r>
          </w:p>
        </w:tc>
        <w:tc>
          <w:tcPr>
            <w:tcW w:type="dxa" w:w="4838"/>
            <w:tcMar>
              <w:top w:type="dxa" w:w="80"/>
              <w:left w:type="dxa" w:w="100"/>
              <w:bottom w:type="dxa" w:w="80"/>
              <w:right w:type="dxa" w:w="100"/>
            </w:tcMar>
          </w:tcPr>
          <w:p>
            <w:r>
              <w:rPr>
                <w:sz w:val="20"/>
                <w:szCs w:val="20"/>
              </w:rPr>
              <w:t xml:space="preserve">Repo instruments</w:t>
            </w:r>
          </w:p>
        </w:tc>
      </w:tr>
      <w:tr>
        <w:tc>
          <w:tcPr>
            <w:tcW w:type="dxa" w:w="2218"/>
            <w:tcMar>
              <w:top w:type="dxa" w:w="80"/>
              <w:left w:type="dxa" w:w="100"/>
              <w:bottom w:type="dxa" w:w="80"/>
              <w:right w:type="dxa" w:w="100"/>
            </w:tcMar>
          </w:tcPr>
          <w:p>
            <w:r>
              <w:rPr>
                <w:sz w:val="20"/>
                <w:szCs w:val="20"/>
              </w:rPr>
              <w:t xml:space="preserve">DIR</w:t>
            </w:r>
          </w:p>
        </w:tc>
        <w:tc>
          <w:tcPr>
            <w:tcW w:type="dxa" w:w="3024"/>
            <w:tcMar>
              <w:top w:type="dxa" w:w="80"/>
              <w:left w:type="dxa" w:w="100"/>
              <w:bottom w:type="dxa" w:w="80"/>
              <w:right w:type="dxa" w:w="100"/>
            </w:tcMar>
          </w:tcPr>
          <w:p>
            <w:r>
              <w:rPr>
                <w:sz w:val="20"/>
                <w:szCs w:val="20"/>
              </w:rPr>
              <w:t xml:space="preserve">Direct investment</w:t>
            </w:r>
          </w:p>
        </w:tc>
        <w:tc>
          <w:tcPr>
            <w:tcW w:type="dxa" w:w="4838"/>
            <w:tcMar>
              <w:top w:type="dxa" w:w="80"/>
              <w:left w:type="dxa" w:w="100"/>
              <w:bottom w:type="dxa" w:w="80"/>
              <w:right w:type="dxa" w:w="100"/>
            </w:tcMar>
          </w:tcPr>
          <w:p>
            <w:r>
              <w:rPr>
                <w:sz w:val="20"/>
                <w:szCs w:val="20"/>
              </w:rPr>
              <w:t xml:space="preserve">Direct investments</w:t>
            </w:r>
          </w:p>
        </w:tc>
      </w:tr>
      <w:tr>
        <w:tc>
          <w:tcPr>
            <w:tcW w:type="dxa" w:w="2218"/>
            <w:tcMar>
              <w:top w:type="dxa" w:w="80"/>
              <w:left w:type="dxa" w:w="100"/>
              <w:bottom w:type="dxa" w:w="80"/>
              <w:right w:type="dxa" w:w="100"/>
            </w:tcMar>
          </w:tcPr>
          <w:p>
            <w:r>
              <w:rPr>
                <w:sz w:val="20"/>
                <w:szCs w:val="20"/>
              </w:rPr>
              <w:t xml:space="preserve">OTHER</w:t>
            </w:r>
          </w:p>
        </w:tc>
        <w:tc>
          <w:tcPr>
            <w:tcW w:type="dxa" w:w="3024"/>
            <w:tcMar>
              <w:top w:type="dxa" w:w="80"/>
              <w:left w:type="dxa" w:w="100"/>
              <w:bottom w:type="dxa" w:w="80"/>
              <w:right w:type="dxa" w:w="100"/>
            </w:tcMar>
          </w:tcPr>
          <w:p>
            <w:r>
              <w:rPr>
                <w:sz w:val="20"/>
                <w:szCs w:val="20"/>
              </w:rPr>
              <w:t xml:space="preserve">Other</w:t>
            </w:r>
          </w:p>
        </w:tc>
        <w:tc>
          <w:tcPr>
            <w:tcW w:type="dxa" w:w="4838"/>
            <w:tcMar>
              <w:top w:type="dxa" w:w="80"/>
              <w:left w:type="dxa" w:w="100"/>
              <w:bottom w:type="dxa" w:w="80"/>
              <w:right w:type="dxa" w:w="100"/>
            </w:tcMar>
          </w:tcPr>
          <w:p>
            <w:r>
              <w:rPr>
                <w:sz w:val="20"/>
                <w:szCs w:val="20"/>
              </w:rPr>
              <w:t xml:space="preserve">Unclassified</w:t>
            </w:r>
          </w:p>
        </w:tc>
      </w:tr>
    </w:tbl>
    <w:p>
      <w:pPr>
        <w:spacing w:after="160" w:before="0"/>
      </w:pPr>
      <w:r>
        <w:rPr>
          <w:i/>
          <w:iCs/>
        </w:rPr>
        <w:t xml:space="preserve">Bond layout triggered when DBT + ABS-MBS + ABS-O + STIV account for more than 50% of total weight.</w:t>
      </w:r>
    </w:p>
    <w:p>
      <w:pPr>
        <w:pStyle w:val="Heading1"/>
        <w:spacing w:after="180" w:before="360"/>
      </w:pPr>
      <w:r>
        <w:rPr>
          <w:b/>
          <w:bCs/>
          <w:sz w:val="28"/>
          <w:szCs w:val="28"/>
        </w:rPr>
        <w:t xml:space="preserve">14. Corporate Atlas — Data Quality Detail</w:t>
      </w:r>
    </w:p>
    <w:p>
      <w:pPr>
        <w:pStyle w:val="Heading2"/>
        <w:spacing w:after="120" w:before="240"/>
      </w:pPr>
      <w:r>
        <w:rPr>
          <w:b/>
          <w:bCs/>
          <w:sz w:val="24"/>
          <w:szCs w:val="24"/>
        </w:rPr>
        <w:t xml:space="preserve">14.1 Entity Master Composition (as of July 23, 2026)</w:t>
      </w:r>
    </w:p>
    <w:p>
      <w:pPr>
        <w:spacing w:after="160" w:before="0"/>
      </w:pPr>
      <w:r>
        <w:t xml:space="preserve">11,111 total entities (up from 9,361 in v9). Breakdown by type: 10,705 operating, 290 fund, 68 government, 43 manager, 4 holding, 1 spv.</w:t>
      </w:r>
    </w:p>
    <w:p>
      <w:pPr>
        <w:spacing w:after="160" w:before="0"/>
      </w:pPr>
      <w:r>
        <w:t xml:space="preserve">NEW in Sprint 2: a nullable cik column was added to entity_master via ALTER TABLE and populated for 3,182 operating entities via name-match against SEC's company_tickers_exchange.json. This cik is the join key powering the new Issuer page (Section 9.7).</w:t>
      </w:r>
    </w:p>
    <w:p>
      <w:pPr>
        <w:spacing w:after="160" w:before="0"/>
      </w:pPr>
      <w:r>
        <w:t xml:space="preserve">Fund-type entities with LEI: 0 (by design, following the June 17 incident — fund LEI resolution via ISIN lookup was permanently disabled; fund entities show name, type, and Fund Manager only, with no GLEIF identity data, until a correct manager-based enrichment strategy is built).</w:t>
      </w:r>
    </w:p>
    <w:p>
      <w:pPr>
        <w:pStyle w:val="Heading2"/>
        <w:spacing w:after="120" w:before="240"/>
      </w:pPr>
      <w:r>
        <w:rPr>
          <w:b/>
          <w:bCs/>
          <w:sz w:val="24"/>
          <w:szCs w:val="24"/>
        </w:rPr>
        <w:t xml:space="preserve">14.2 Relationship Enrichment Drain (June cycle; paused during the July Sprint)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tblHeader/>
        </w:trPr>
        <w:tc>
          <w:tcPr>
            <w:tcW w:type="dxa" w:w="4032"/>
            <w:shd w:fill="D9E2F3" w:val="clear"/>
            <w:tcMar>
              <w:top w:type="dxa" w:w="80"/>
              <w:left w:type="dxa" w:w="100"/>
              <w:bottom w:type="dxa" w:w="80"/>
              <w:right w:type="dxa" w:w="100"/>
            </w:tcMar>
          </w:tcPr>
          <w:p>
            <w:r>
              <w:rPr>
                <w:b/>
                <w:bCs/>
                <w:sz w:val="20"/>
                <w:szCs w:val="20"/>
              </w:rPr>
              <w:t xml:space="preserve">Checkpoint</w:t>
            </w:r>
          </w:p>
        </w:tc>
        <w:tc>
          <w:tcPr>
            <w:tcW w:type="dxa" w:w="6048"/>
            <w:shd w:fill="D9E2F3" w:val="clear"/>
            <w:tcMar>
              <w:top w:type="dxa" w:w="80"/>
              <w:left w:type="dxa" w:w="100"/>
              <w:bottom w:type="dxa" w:w="80"/>
              <w:right w:type="dxa" w:w="100"/>
            </w:tcMar>
          </w:tcPr>
          <w:p>
            <w:r>
              <w:rPr>
                <w:b/>
                <w:bCs/>
                <w:sz w:val="20"/>
                <w:szCs w:val="20"/>
              </w:rPr>
              <w:t xml:space="preserve">Entities eligible for relationship check</w:t>
            </w:r>
          </w:p>
        </w:tc>
      </w:tr>
      <w:tr>
        <w:tc>
          <w:tcPr>
            <w:tcW w:type="dxa" w:w="4032"/>
            <w:tcMar>
              <w:top w:type="dxa" w:w="80"/>
              <w:left w:type="dxa" w:w="100"/>
              <w:bottom w:type="dxa" w:w="80"/>
              <w:right w:type="dxa" w:w="100"/>
            </w:tcMar>
          </w:tcPr>
          <w:p>
            <w:r>
              <w:rPr>
                <w:sz w:val="20"/>
                <w:szCs w:val="20"/>
              </w:rPr>
              <w:t xml:space="preserve">2026-06-19 (pre-fix)</w:t>
            </w:r>
          </w:p>
        </w:tc>
        <w:tc>
          <w:tcPr>
            <w:tcW w:type="dxa" w:w="6048"/>
            <w:tcMar>
              <w:top w:type="dxa" w:w="80"/>
              <w:left w:type="dxa" w:w="100"/>
              <w:bottom w:type="dxa" w:w="80"/>
              <w:right w:type="dxa" w:w="100"/>
            </w:tcMar>
          </w:tcPr>
          <w:p>
            <w:r>
              <w:rPr>
                <w:sz w:val="20"/>
                <w:szCs w:val="20"/>
              </w:rPr>
              <w:t xml:space="preserve">6,236 (stuck)</w:t>
            </w:r>
          </w:p>
        </w:tc>
      </w:tr>
      <w:tr>
        <w:tc>
          <w:tcPr>
            <w:tcW w:type="dxa" w:w="4032"/>
            <w:tcMar>
              <w:top w:type="dxa" w:w="80"/>
              <w:left w:type="dxa" w:w="100"/>
              <w:bottom w:type="dxa" w:w="80"/>
              <w:right w:type="dxa" w:w="100"/>
            </w:tcMar>
          </w:tcPr>
          <w:p>
            <w:r>
              <w:rPr>
                <w:sz w:val="20"/>
                <w:szCs w:val="20"/>
              </w:rPr>
              <w:t xml:space="preserve">2026-06-19 (post-fix)</w:t>
            </w:r>
          </w:p>
        </w:tc>
        <w:tc>
          <w:tcPr>
            <w:tcW w:type="dxa" w:w="6048"/>
            <w:tcMar>
              <w:top w:type="dxa" w:w="80"/>
              <w:left w:type="dxa" w:w="100"/>
              <w:bottom w:type="dxa" w:w="80"/>
              <w:right w:type="dxa" w:w="100"/>
            </w:tcMar>
          </w:tcPr>
          <w:p>
            <w:r>
              <w:rPr>
                <w:sz w:val="20"/>
                <w:szCs w:val="20"/>
              </w:rPr>
              <w:t xml:space="preserve">6,191</w:t>
            </w:r>
          </w:p>
        </w:tc>
      </w:tr>
      <w:tr>
        <w:tc>
          <w:tcPr>
            <w:tcW w:type="dxa" w:w="4032"/>
            <w:tcMar>
              <w:top w:type="dxa" w:w="80"/>
              <w:left w:type="dxa" w:w="100"/>
              <w:bottom w:type="dxa" w:w="80"/>
              <w:right w:type="dxa" w:w="100"/>
            </w:tcMar>
          </w:tcPr>
          <w:p>
            <w:r>
              <w:rPr>
                <w:sz w:val="20"/>
                <w:szCs w:val="20"/>
              </w:rPr>
              <w:t xml:space="preserve">2026-06-20 morning</w:t>
            </w:r>
          </w:p>
        </w:tc>
        <w:tc>
          <w:tcPr>
            <w:tcW w:type="dxa" w:w="6048"/>
            <w:tcMar>
              <w:top w:type="dxa" w:w="80"/>
              <w:left w:type="dxa" w:w="100"/>
              <w:bottom w:type="dxa" w:w="80"/>
              <w:right w:type="dxa" w:w="100"/>
            </w:tcMar>
          </w:tcPr>
          <w:p>
            <w:r>
              <w:rPr>
                <w:sz w:val="20"/>
                <w:szCs w:val="20"/>
              </w:rPr>
              <w:t xml:space="preserve">5,831</w:t>
            </w:r>
          </w:p>
        </w:tc>
      </w:tr>
      <w:tr>
        <w:tc>
          <w:tcPr>
            <w:tcW w:type="dxa" w:w="4032"/>
            <w:tcMar>
              <w:top w:type="dxa" w:w="80"/>
              <w:left w:type="dxa" w:w="100"/>
              <w:bottom w:type="dxa" w:w="80"/>
              <w:right w:type="dxa" w:w="100"/>
            </w:tcMar>
          </w:tcPr>
          <w:p>
            <w:r>
              <w:rPr>
                <w:sz w:val="20"/>
                <w:szCs w:val="20"/>
              </w:rPr>
              <w:t xml:space="preserve">2026-06-20 evening</w:t>
            </w:r>
          </w:p>
        </w:tc>
        <w:tc>
          <w:tcPr>
            <w:tcW w:type="dxa" w:w="6048"/>
            <w:tcMar>
              <w:top w:type="dxa" w:w="80"/>
              <w:left w:type="dxa" w:w="100"/>
              <w:bottom w:type="dxa" w:w="80"/>
              <w:right w:type="dxa" w:w="100"/>
            </w:tcMar>
          </w:tcPr>
          <w:p>
            <w:r>
              <w:rPr>
                <w:sz w:val="20"/>
                <w:szCs w:val="20"/>
              </w:rPr>
              <w:t xml:space="preserve">5,471</w:t>
            </w:r>
          </w:p>
        </w:tc>
      </w:tr>
      <w:tr>
        <w:tc>
          <w:tcPr>
            <w:tcW w:type="dxa" w:w="4032"/>
            <w:tcMar>
              <w:top w:type="dxa" w:w="80"/>
              <w:left w:type="dxa" w:w="100"/>
              <w:bottom w:type="dxa" w:w="80"/>
              <w:right w:type="dxa" w:w="100"/>
            </w:tcMar>
          </w:tcPr>
          <w:p>
            <w:r>
              <w:rPr>
                <w:sz w:val="20"/>
                <w:szCs w:val="20"/>
              </w:rPr>
              <w:t xml:space="preserve">2026-06-21 morning</w:t>
            </w:r>
          </w:p>
        </w:tc>
        <w:tc>
          <w:tcPr>
            <w:tcW w:type="dxa" w:w="6048"/>
            <w:tcMar>
              <w:top w:type="dxa" w:w="80"/>
              <w:left w:type="dxa" w:w="100"/>
              <w:bottom w:type="dxa" w:w="80"/>
              <w:right w:type="dxa" w:w="100"/>
            </w:tcMar>
          </w:tcPr>
          <w:p>
            <w:r>
              <w:rPr>
                <w:sz w:val="20"/>
                <w:szCs w:val="20"/>
              </w:rPr>
              <w:t xml:space="preserve">5,111</w:t>
            </w:r>
          </w:p>
        </w:tc>
      </w:tr>
    </w:tbl>
    <w:p>
      <w:pPr>
        <w:spacing w:after="160" w:before="0"/>
      </w:pPr>
      <w:r>
        <w:rPr>
          <w:i/>
          <w:iCs/>
        </w:rPr>
        <w:t xml:space="preserve">Phase 3 cadence was increased from even-hours-only to every cycle on 2026-06-21, expected to roughly double the drain rate. As of the July Sprint, meridian-entities-enrich (which runs this drain) is FROZEN — see Section 2.2 — so this population is not currently shrinking. Draining is expected to resume once the Worker is re-enabled per Section 18.3.</w:t>
      </w:r>
    </w:p>
    <w:p>
      <w:pPr>
        <w:pStyle w:val="Heading2"/>
        <w:spacing w:after="120" w:before="240"/>
      </w:pPr>
      <w:r>
        <w:rPr>
          <w:b/>
          <w:bCs/>
          <w:sz w:val="24"/>
          <w:szCs w:val="24"/>
        </w:rPr>
        <w:t xml:space="preserve">14.3 instrument_master and instrument_entity_map — "True Coverage" Figure</w:t>
      </w:r>
    </w:p>
    <w:p>
      <w:pPr>
        <w:spacing w:after="160" w:before="0"/>
      </w:pPr>
      <w:r>
        <w:t xml:space="preserve">As of the June 21 baseline, the trustworthy instrument-to-entity mapping coverage figure is 43.9% (23,963 of 54,562 instruments mapped), calculated against the corrected, complete denominator after refreshing instrument_master to 54,562 rows and entity_isin_map to 18,563 rows. Not re-verified during the July Sprint — the underlying pipelines that would move this figure (meridian-entities-enrich, meridian-entities-seed) have been frozen for the duration of Sprint 2/3.</w:t>
      </w:r>
    </w:p>
    <w:p>
      <w:pPr>
        <w:pStyle w:val="Heading2"/>
        <w:spacing w:after="120" w:before="240"/>
      </w:pPr>
      <w:r>
        <w:rPr>
          <w:b/>
          <w:bCs/>
          <w:sz w:val="24"/>
          <w:szCs w:val="24"/>
        </w:rPr>
        <w:t xml:space="preserve">14.4 Kratos Duplicate Cleanup (June cycle, resolved)</w:t>
      </w:r>
    </w:p>
    <w:p>
      <w:pPr>
        <w:spacing w:after="160" w:before="0"/>
      </w:pPr>
      <w:r>
        <w:t xml:space="preserve">Three near-duplicate entity rows for "Kratos Defense &amp; Security Solutions" were found and resolved to one canonical row — artifacts of inconsistent HTML-entity decoding (&amp;amp; vs &amp;) during two different historical seed passes. Confirmed as an isolated case via a full duplicate-name audit across the entire entity_master table (zero other duplicates found).</w:t>
      </w:r>
    </w:p>
    <w:p>
      <w:pPr>
        <w:pStyle w:val="Heading1"/>
        <w:spacing w:after="180" w:before="360"/>
      </w:pPr>
      <w:r>
        <w:rPr>
          <w:b/>
          <w:bCs/>
          <w:sz w:val="28"/>
          <w:szCs w:val="28"/>
        </w:rPr>
        <w:t xml:space="preserve">15. Deployment Record — GitHub Pages</w:t>
      </w:r>
    </w:p>
    <w:p>
      <w:pPr>
        <w:pStyle w:val="Heading2"/>
        <w:spacing w:after="120" w:before="240"/>
      </w:pPr>
      <w:r>
        <w:rPr>
          <w:b/>
          <w:bCs/>
          <w:sz w:val="24"/>
          <w:szCs w:val="24"/>
        </w:rPr>
        <w:t xml:space="preserve">15.1 Summary (June 21, 2026 deploy)</w:t>
      </w:r>
    </w:p>
    <w:p>
      <w:pPr>
        <w:spacing w:after="160" w:before="0"/>
      </w:pPr>
      <w:r>
        <w:t xml:space="preserve">On 2026-06-21, the June cycle's entire build (Corporate Atlas v4 + all ETF module fixes) was deployed to the live production site for the first time. Full step-by-step record, including a failed first attempt and its resolution, is maintained in a dedicated companion document: GitHub_Pages_Deployment_Record_2026-06-21.md. Key facts are summarized here.</w:t>
      </w:r>
    </w:p>
    <w:p>
      <w:pPr>
        <w:pStyle w:val="Heading2"/>
        <w:spacing w:after="120" w:before="240"/>
      </w:pPr>
      <w:r>
        <w:rPr>
          <w:b/>
          <w:bCs/>
          <w:sz w:val="24"/>
          <w:szCs w:val="24"/>
        </w:rPr>
        <w:t xml:space="preserve">15.2 What Changed Operationally (June cycle)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D9E2F3" w:val="clear"/>
            <w:tcMar>
              <w:top w:type="dxa" w:w="80"/>
              <w:left w:type="dxa" w:w="100"/>
              <w:bottom w:type="dxa" w:w="80"/>
              <w:right w:type="dxa" w:w="100"/>
            </w:tcMar>
          </w:tcPr>
          <w:p>
            <w:r>
              <w:rPr>
                <w:b/>
                <w:bCs/>
                <w:sz w:val="20"/>
                <w:szCs w:val="20"/>
              </w:rPr>
              <w:t xml:space="preserve">Before June cycle</w:t>
            </w:r>
          </w:p>
        </w:tc>
        <w:tc>
          <w:tcPr>
            <w:tcW w:type="dxa" w:w="5040"/>
            <w:shd w:fill="D9E2F3" w:val="clear"/>
            <w:tcMar>
              <w:top w:type="dxa" w:w="80"/>
              <w:left w:type="dxa" w:w="100"/>
              <w:bottom w:type="dxa" w:w="80"/>
              <w:right w:type="dxa" w:w="100"/>
            </w:tcMar>
          </w:tcPr>
          <w:p>
            <w:r>
              <w:rPr>
                <w:b/>
                <w:bCs/>
                <w:sz w:val="20"/>
                <w:szCs w:val="20"/>
              </w:rPr>
              <w:t xml:space="preserve">After June cycle</w:t>
            </w:r>
          </w:p>
        </w:tc>
      </w:tr>
      <w:tr>
        <w:tc>
          <w:tcPr>
            <w:tcW w:type="dxa" w:w="5040"/>
            <w:tcMar>
              <w:top w:type="dxa" w:w="80"/>
              <w:left w:type="dxa" w:w="100"/>
              <w:bottom w:type="dxa" w:w="80"/>
              <w:right w:type="dxa" w:w="100"/>
            </w:tcMar>
          </w:tcPr>
          <w:p>
            <w:r>
              <w:rPr>
                <w:sz w:val="20"/>
                <w:szCs w:val="20"/>
              </w:rPr>
              <w:t xml:space="preserve">Local development git repository (June Refresh/ root) had never been connected to any GitHub remote</w:t>
            </w:r>
          </w:p>
        </w:tc>
        <w:tc>
          <w:tcPr>
            <w:tcW w:type="dxa" w:w="5040"/>
            <w:tcMar>
              <w:top w:type="dxa" w:w="80"/>
              <w:left w:type="dxa" w:w="100"/>
              <w:bottom w:type="dxa" w:w="80"/>
              <w:right w:type="dxa" w:w="100"/>
            </w:tcMar>
          </w:tcPr>
          <w:p>
            <w:r>
              <w:rPr>
                <w:sz w:val="20"/>
                <w:szCs w:val="20"/>
              </w:rPr>
              <w:t xml:space="preserve">Connected; pushes now go to navinmv81/meridian-atlas</w:t>
            </w:r>
          </w:p>
        </w:tc>
      </w:tr>
      <w:tr>
        <w:tc>
          <w:tcPr>
            <w:tcW w:type="dxa" w:w="5040"/>
            <w:tcMar>
              <w:top w:type="dxa" w:w="80"/>
              <w:left w:type="dxa" w:w="100"/>
              <w:bottom w:type="dxa" w:w="80"/>
              <w:right w:type="dxa" w:w="100"/>
            </w:tcMar>
          </w:tcPr>
          <w:p>
            <w:r>
              <w:rPr>
                <w:sz w:val="20"/>
                <w:szCs w:val="20"/>
              </w:rPr>
              <w:t xml:space="preserve">Live site served from Refactored-and-May-2026-Refresh branch (pre-Corporate-Atlas code)</w:t>
            </w:r>
          </w:p>
        </w:tc>
        <w:tc>
          <w:tcPr>
            <w:tcW w:type="dxa" w:w="5040"/>
            <w:tcMar>
              <w:top w:type="dxa" w:w="80"/>
              <w:left w:type="dxa" w:w="100"/>
              <w:bottom w:type="dxa" w:w="80"/>
              <w:right w:type="dxa" w:w="100"/>
            </w:tcMar>
          </w:tcPr>
          <w:p>
            <w:r>
              <w:rPr>
                <w:sz w:val="20"/>
                <w:szCs w:val="20"/>
              </w:rPr>
              <w:t xml:space="preserve">Live site now serves from corporate-atlas-v4-deploy-clean branch</w:t>
            </w:r>
          </w:p>
        </w:tc>
      </w:tr>
      <w:tr>
        <w:tc>
          <w:tcPr>
            <w:tcW w:type="dxa" w:w="5040"/>
            <w:tcMar>
              <w:top w:type="dxa" w:w="80"/>
              <w:left w:type="dxa" w:w="100"/>
              <w:bottom w:type="dxa" w:w="80"/>
              <w:right w:type="dxa" w:w="100"/>
            </w:tcMar>
          </w:tcPr>
          <w:p>
            <w:r>
              <w:rPr>
                <w:sz w:val="20"/>
                <w:szCs w:val="20"/>
              </w:rPr>
              <w:t xml:space="preserve">No documented frontend deployment process</w:t>
            </w:r>
          </w:p>
        </w:tc>
        <w:tc>
          <w:tcPr>
            <w:tcW w:type="dxa" w:w="5040"/>
            <w:tcMar>
              <w:top w:type="dxa" w:w="80"/>
              <w:left w:type="dxa" w:w="100"/>
              <w:bottom w:type="dxa" w:w="80"/>
              <w:right w:type="dxa" w:w="100"/>
            </w:tcMar>
          </w:tcPr>
          <w:p>
            <w:r>
              <w:rPr>
                <w:sz w:val="20"/>
                <w:szCs w:val="20"/>
              </w:rPr>
              <w:t xml:space="preserve">Documented in the companion deployment record, including a quick reference for future pushes</w:t>
            </w:r>
          </w:p>
        </w:tc>
      </w:tr>
    </w:tbl>
    <w:p>
      <w:pPr>
        <w:pStyle w:val="Heading2"/>
        <w:spacing w:after="120" w:before="240"/>
      </w:pPr>
      <w:r>
        <w:rPr>
          <w:b/>
          <w:bCs/>
          <w:sz w:val="24"/>
          <w:szCs w:val="24"/>
        </w:rPr>
        <w:t xml:space="preserve">15.3 Large Files in Local Git History (June cycle finding)</w:t>
      </w:r>
    </w:p>
    <w:p>
      <w:pPr>
        <w:spacing w:after="160" w:before="0"/>
      </w:pPr>
      <w:r>
        <w:t xml:space="preserve">The local git repository's history was found to contain several multi-gigabyte files (a 4.6GB GLEIF Golden Copy CSV, a 2.5GB local GLEIF SQLite database, a 287MB LEI-ISIN mapping file, and approximately 80MB 13F seed ZIPs) committed earlier in the June cycle, exceeding GitHub's 100MB per-file limit and blocking the first deployment attempt entirely. Resolved by deploying via a fresh "orphan" branch with no prior history. Still an outstanding cleanup item — see Section 19, item 1.</w:t>
      </w:r>
    </w:p>
    <w:p>
      <w:pPr>
        <w:pStyle w:val="Heading2"/>
        <w:spacing w:after="120" w:before="240"/>
      </w:pPr>
      <w:r>
        <w:rPr>
          <w:b/>
          <w:bCs/>
          <w:sz w:val="24"/>
          <w:szCs w:val="24"/>
        </w:rPr>
        <w:t xml:space="preserve">15.4 Local File Location (unchanged since June 21, 2026)</w:t>
      </w:r>
    </w:p>
    <w:p>
      <w:pPr>
        <w:spacing w:after="160" w:before="0"/>
      </w:pPr>
      <w:r>
        <w:t xml:space="preserve">As a direct, intentional side effect of the June deployment process, the 11 canonical frontend files live at:</w:t>
      </w:r>
    </w:p>
    <w:p>
      <w:pPr>
        <w:spacing w:after="160" w:before="0"/>
      </w:pPr>
      <w:r>
        <w:rPr>
          <w:b/>
          <w:bCs/>
        </w:rPr>
        <w:t xml:space="preserve">/Users/navinkumar/Desktop/MeridianAtlas/June Refresh/</w:t>
      </w:r>
    </w:p>
    <w:p>
      <w:pPr>
        <w:spacing w:after="160" w:before="0"/>
      </w:pPr>
      <w:r>
        <w:t xml:space="preserve">not inside ETF Refresh/. The ETF Refresh/ folder still holds all Worker source code, wrangler*.toml configs, and local scripts — only the 11 deployed frontend files moved. This remains the canonical local editing location as of July 23, 2026.</w:t>
      </w:r>
    </w:p>
    <w:p>
      <w:pPr>
        <w:pStyle w:val="Heading2"/>
        <w:spacing w:after="120" w:before="240"/>
      </w:pPr>
      <w:r>
        <w:rPr>
          <w:b/>
          <w:bCs/>
          <w:sz w:val="24"/>
          <w:szCs w:val="24"/>
        </w:rPr>
        <w:t xml:space="preserve">15.5 July Sprint 2/3/4 — DEPLOYED to GitHub Pages (July 26, 2026)</w:t>
      </w:r>
    </w:p>
    <w:p>
      <w:pPr>
        <w:spacing w:after="160" w:before="0"/>
      </w:pPr>
      <w:r>
        <w:rPr>
          <w:b/>
          <w:bCs/>
        </w:rPr>
        <w:t xml:space="preserve">As of July 26, 2026, Sprint 2, Sprint 3, and Sprint 4 work is live on GitHub Pages. The live production site now serves the full 13F, Filings, and Issuer intelligence modules, plus all Sprint 4 fixes below (Section 21).</w:t>
      </w:r>
    </w:p>
    <w:p>
      <w:pPr>
        <w:spacing w:after="160" w:before="0"/>
      </w:pPr>
      <w:r>
        <w:t xml:space="preserve">Repository: https://github.com/navinmv81/meridian-atlas</w:t>
      </w:r>
    </w:p>
    <w:p>
      <w:pPr>
        <w:spacing w:after="160" w:before="0"/>
      </w:pPr>
      <w:r>
        <w:t xml:space="preserve">Active branch: corporate-atlas-v4-deploy-clean — this is also what GitHub Pages serves from</w:t>
      </w:r>
    </w:p>
    <w:p>
      <w:pPr>
        <w:spacing w:after="160" w:before="0"/>
      </w:pPr>
      <w:r>
        <w:t xml:space="preserve">Working branch: sprint2-13f-ingestion (all Sprint 2 work was committed here before merging forward)</w:t>
      </w:r>
    </w:p>
    <w:p>
      <w:pPr>
        <w:spacing w:after="160" w:before="0"/>
      </w:pPr>
      <w:r>
        <w:rPr>
          <w:b/>
          <w:bCs/>
        </w:rPr>
        <w:t xml:space="preserve">Push history: corporate-atlas-v4-deploy-clean was 6 commits ahead of origin through Sprint 3 (last: 79b089a). On July 26, 2026, the Sprint 4 commit (684b9e4 — 7 files changed) was added and the full branch pushed to origin in one push (7f88d9c..684b9e4). GitHub Pages and production Cloudflare Workers are now aligned with the source repository.</w:t>
      </w:r>
    </w:p>
    <w:p>
      <w:pPr>
        <w:pStyle w:val="ListParagraph"/>
        <w:numPr>
          <w:ilvl w:val="0"/>
          <w:numId w:val="1"/>
        </w:numPr>
        <w:spacing w:after="80"/>
      </w:pPr>
      <w:r>
        <w:rPr>
          <w:sz w:val="21"/>
          <w:szCs w:val="21"/>
        </w:rPr>
        <w:t xml:space="preserve">684b9e4 — Sprint 4: 13F smart-routing verified, Issuer panels wiring, CIK backfill, write-guard root-cause fix</w:t>
      </w:r>
    </w:p>
    <w:p>
      <w:pPr>
        <w:pStyle w:val="ListParagraph"/>
        <w:numPr>
          <w:ilvl w:val="0"/>
          <w:numId w:val="1"/>
        </w:numPr>
        <w:spacing w:after="80"/>
      </w:pPr>
      <w:r>
        <w:rPr>
          <w:sz w:val="21"/>
          <w:szCs w:val="21"/>
        </w:rPr>
        <w:t xml:space="preserve">79b089a — Sprint 3: fix filing-link fallback routing, overlay z-index stacking, and ETF exposure/overlap count mismatch</w:t>
      </w:r>
    </w:p>
    <w:p>
      <w:pPr>
        <w:pStyle w:val="ListParagraph"/>
        <w:numPr>
          <w:ilvl w:val="0"/>
          <w:numId w:val="1"/>
        </w:numPr>
        <w:spacing w:after="80"/>
      </w:pPr>
      <w:r>
        <w:rPr>
          <w:sz w:val="21"/>
          <w:szCs w:val="21"/>
        </w:rPr>
        <w:t xml:space="preserve">a12009c — Sprint 3: UX fixes + ops documentation</w:t>
      </w:r>
    </w:p>
    <w:p>
      <w:pPr>
        <w:pStyle w:val="ListParagraph"/>
        <w:numPr>
          <w:ilvl w:val="0"/>
          <w:numId w:val="1"/>
        </w:numPr>
        <w:spacing w:after="80"/>
      </w:pPr>
      <w:r>
        <w:rPr>
          <w:sz w:val="21"/>
          <w:szCs w:val="21"/>
        </w:rPr>
        <w:t xml:space="preserve">439205b — Sprint 3: S3.10/S3.11 — ETF-13F overlap panel, empty states, freshness labels</w:t>
      </w:r>
    </w:p>
    <w:p>
      <w:pPr>
        <w:pStyle w:val="ListParagraph"/>
        <w:numPr>
          <w:ilvl w:val="0"/>
          <w:numId w:val="1"/>
        </w:numPr>
        <w:spacing w:after="80"/>
      </w:pPr>
      <w:r>
        <w:rPr>
          <w:sz w:val="21"/>
          <w:szCs w:val="21"/>
        </w:rPr>
        <w:t xml:space="preserve">914c23c — Sprint 3: Issuer page panels — S3.7/S3.8/S3.9</w:t>
      </w:r>
    </w:p>
    <w:p>
      <w:pPr>
        <w:pStyle w:val="ListParagraph"/>
        <w:numPr>
          <w:ilvl w:val="0"/>
          <w:numId w:val="1"/>
        </w:numPr>
        <w:spacing w:after="80"/>
      </w:pPr>
      <w:r>
        <w:rPr>
          <w:sz w:val="21"/>
          <w:szCs w:val="21"/>
        </w:rPr>
        <w:t xml:space="preserve">3682aab — Sprint 3: add seed scripts for managerissuerpositionquarterly and issuerperiodsummary</w:t>
      </w:r>
    </w:p>
    <w:p>
      <w:pPr>
        <w:spacing w:after="160" w:before="0"/>
      </w:pPr>
      <w:r>
        <w:rPr>
          <w:i/>
          <w:iCs/>
        </w:rPr>
        <w:t xml:space="preserve">Note: several Sprint 4 fixes (Corporate Atlas/src/entities-api.js, ETF Refresh/src/holdings-pipeline.js, ETF Refresh/src/worker-13f.js) were deployed to their respective Cloudflare Workers individually via wrangler deploy before the git commit/push landed — production and source control briefly diverged during Sprint 4 (see Section 21.7) and are now reconciled as of the July 26 push.</w:t>
      </w:r>
    </w:p>
    <w:p>
      <w:pPr>
        <w:pStyle w:val="Heading2"/>
        <w:spacing w:after="120" w:before="240"/>
      </w:pPr>
      <w:r>
        <w:rPr>
          <w:b/>
          <w:bCs/>
          <w:sz w:val="24"/>
          <w:szCs w:val="24"/>
        </w:rPr>
        <w:t xml:space="preserve">15.6 Directory Structure (current, July 23, 2026)</w:t>
      </w:r>
    </w:p>
    <w:p>
      <w:pPr>
        <w:pStyle w:val="ListParagraph"/>
        <w:numPr>
          <w:ilvl w:val="0"/>
          <w:numId w:val="1"/>
        </w:numPr>
        <w:spacing w:after="80"/>
      </w:pPr>
      <w:r>
        <w:rPr>
          <w:sz w:val="21"/>
          <w:szCs w:val="21"/>
        </w:rPr>
        <w:t xml:space="preserve">/June Refresh/ — Git repo root, canonical deployed location</w:t>
      </w:r>
    </w:p>
    <w:p>
      <w:pPr>
        <w:pStyle w:val="ListParagraph"/>
        <w:numPr>
          <w:ilvl w:val="0"/>
          <w:numId w:val="1"/>
        </w:numPr>
        <w:spacing w:after="80"/>
      </w:pPr>
      <w:r>
        <w:rPr>
          <w:sz w:val="21"/>
          <w:szCs w:val="21"/>
        </w:rPr>
        <w:t xml:space="preserve">/June Refresh/ETF Refresh/ — Worker source code (src/), wrangler configs, migrations/</w:t>
      </w:r>
    </w:p>
    <w:p>
      <w:pPr>
        <w:pStyle w:val="ListParagraph"/>
        <w:numPr>
          <w:ilvl w:val="0"/>
          <w:numId w:val="1"/>
        </w:numPr>
        <w:spacing w:after="80"/>
      </w:pPr>
      <w:r>
        <w:rPr>
          <w:sz w:val="21"/>
          <w:szCs w:val="21"/>
        </w:rPr>
        <w:t xml:space="preserve">/June Refresh/Corporate Atlas/ — Entities Worker source code</w:t>
      </w:r>
    </w:p>
    <w:p>
      <w:pPr>
        <w:pStyle w:val="ListParagraph"/>
        <w:numPr>
          <w:ilvl w:val="0"/>
          <w:numId w:val="1"/>
        </w:numPr>
        <w:spacing w:after="80"/>
      </w:pPr>
      <w:r>
        <w:rPr>
          <w:sz w:val="21"/>
          <w:szCs w:val="21"/>
        </w:rPr>
        <w:t xml:space="preserve">/July Refresh/Base Files /13F Seed/ — Seed scripts and raw SEC data, kept outside the git repo (note trailing space in the path)</w:t>
      </w:r>
    </w:p>
    <w:p>
      <w:pPr>
        <w:pStyle w:val="ListParagraph"/>
        <w:numPr>
          <w:ilvl w:val="0"/>
          <w:numId w:val="1"/>
        </w:numPr>
        <w:spacing w:after="80"/>
      </w:pPr>
      <w:r>
        <w:rPr>
          <w:sz w:val="21"/>
          <w:szCs w:val="21"/>
        </w:rPr>
        <w:t xml:space="preserve">.env location: /July Refresh/Base Files /13F Seed/.env — holds CF_API_TOKEN for the D1 REST API</w:t>
      </w:r>
    </w:p>
    <w:p>
      <w:pPr>
        <w:spacing w:after="160" w:before="0"/>
      </w:pPr>
      <w:r>
        <w:rPr>
          <w:i/>
          <w:iCs/>
        </w:rPr>
        <w:t xml:space="preserve">Working conventions: always run npx wrangler deploy --config &lt;toml&gt; from /June Refresh/ETF Refresh/ to deploy any Worker. Always run D1 verification queries from /June Refresh/ETF Refresh/ (it has the wrangler.toml with account_id).</w:t>
      </w:r>
    </w:p>
    <w:p>
      <w:pPr>
        <w:pStyle w:val="Heading2"/>
        <w:spacing w:after="120" w:before="240"/>
      </w:pPr>
      <w:r>
        <w:rPr>
          <w:b/>
          <w:bCs/>
          <w:sz w:val="24"/>
          <w:szCs w:val="24"/>
        </w:rPr>
        <w:t xml:space="preserve">15.7 Bug-Fix Verification Status (July 23, 2026) — Updated</w:t>
      </w:r>
    </w:p>
    <w:p>
      <w:pPr>
        <w:spacing w:after="160" w:before="0"/>
      </w:pPr>
      <w:r>
        <w:rPr>
          <w:b/>
          <w:bCs/>
        </w:rPr>
        <w:t xml:space="preserve">The 4 bugs found in local testing (Section 19, items 11-14) were independently re-verified against the actual source files and git state on July 23, 2026 — not just the fix-session transcript. Summary:</w:t>
      </w:r>
    </w:p>
    <w:p>
      <w:pPr>
        <w:pStyle w:val="ListParagraph"/>
        <w:numPr>
          <w:ilvl w:val="0"/>
          <w:numId w:val="1"/>
        </w:numPr>
        <w:spacing w:after="80"/>
      </w:pPr>
      <w:r>
        <w:rPr>
          <w:sz w:val="21"/>
          <w:szCs w:val="21"/>
        </w:rPr>
        <w:t xml:space="preserve">Bug 1 (filing links) — FIXED &amp; VERIFIED, client-side only (ma-entities.js). Live as soon as this file ships to GitHub Pages.</w:t>
      </w:r>
    </w:p>
    <w:p>
      <w:pPr>
        <w:pStyle w:val="ListParagraph"/>
        <w:numPr>
          <w:ilvl w:val="0"/>
          <w:numId w:val="1"/>
        </w:numPr>
        <w:spacing w:after="80"/>
      </w:pPr>
      <w:r>
        <w:rPr>
          <w:sz w:val="21"/>
          <w:szCs w:val="21"/>
        </w:rPr>
        <w:t xml:space="preserve">Bug 2 (Manager→Issuer cross-navigation) — FIXED &amp; VERIFIED, client-side only (ma-13f.js + ma-entities.js). Real root cause was a z-index stacking collision, not the click handler originally suspected. Live as soon as these files ship to GitHub Pages.</w:t>
      </w:r>
    </w:p>
    <w:p>
      <w:pPr>
        <w:pStyle w:val="ListParagraph"/>
        <w:numPr>
          <w:ilvl w:val="0"/>
          <w:numId w:val="1"/>
        </w:numPr>
        <w:spacing w:after="80"/>
      </w:pPr>
      <w:r>
        <w:rPr>
          <w:sz w:val="21"/>
          <w:szCs w:val="21"/>
        </w:rPr>
        <w:t xml:space="preserve">Bug 3 (ETF overlap count mismatch) — FIXED &amp; DEPLOYED. This fix is in entities-api.js, a Cloudflare Worker (meridian-entities-api) — redeployed July 24, 2026 (Version ID 68d0465f-b366-4f91-96a8-8eaf8d75aece). Live in production.</w:t>
      </w:r>
    </w:p>
    <w:p>
      <w:pPr>
        <w:pStyle w:val="ListParagraph"/>
        <w:numPr>
          <w:ilvl w:val="0"/>
          <w:numId w:val="1"/>
        </w:numPr>
        <w:spacing w:after="80"/>
      </w:pPr>
      <w:r>
        <w:rPr>
          <w:sz w:val="21"/>
          <w:szCs w:val="21"/>
        </w:rPr>
        <w:t xml:space="preserve">Bug 4 (Issuer panels not injecting) — CLOSED, non-reproducible, no code change made.</w:t>
      </w:r>
    </w:p>
    <w:p>
      <w:pPr>
        <w:spacing w:after="160" w:before="0"/>
      </w:pPr>
      <w:r>
        <w:rPr>
          <w:i/>
          <w:iCs/>
        </w:rPr>
        <w:t xml:space="preserve">UPDATE, July 26, 2026: all Sprint 3 fixes above are now both committed and live — see Section 21 for the full Sprint 4 record, which also found and fixed a real, separate Issuer-panels wiring gap (Galaxy/Search entry point never called ent_injectIssuerPanels, distinct from the non-reproducible Bug 4 above, which was specific to the ETF-holdings entry point) plus several other fixes and one significant operational incident.</w:t>
      </w:r>
    </w:p>
    <w:p>
      <w:pPr>
        <w:pStyle w:val="Heading1"/>
        <w:spacing w:after="180" w:before="360"/>
      </w:pPr>
      <w:r>
        <w:rPr>
          <w:b/>
          <w:bCs/>
          <w:sz w:val="28"/>
          <w:szCs w:val="28"/>
        </w:rPr>
        <w:t xml:space="preserve">16. Module: 13F / Ownership Intelligence (NEW — Sprint 2)</w:t>
      </w:r>
    </w:p>
    <w:p>
      <w:pPr>
        <w:pStyle w:val="Heading2"/>
        <w:spacing w:after="120" w:before="240"/>
      </w:pPr>
      <w:r>
        <w:rPr>
          <w:b/>
          <w:bCs/>
          <w:sz w:val="24"/>
          <w:szCs w:val="24"/>
        </w:rPr>
        <w:t xml:space="preserve">16.1 Purpose</w:t>
      </w:r>
    </w:p>
    <w:p>
      <w:pPr>
        <w:spacing w:after="160" w:before="0"/>
      </w:pPr>
      <w:r>
        <w:t xml:space="preserve">Parses and serves SEC 13F institutional-ownership holdings data, linked into the existing Corporate Atlas entity graph so a 13F position can be traced through to a resolved legal entity.</w:t>
      </w:r>
    </w:p>
    <w:p>
      <w:pPr>
        <w:pStyle w:val="Heading2"/>
        <w:spacing w:after="120" w:before="240"/>
      </w:pPr>
      <w:r>
        <w:rPr>
          <w:b/>
          <w:bCs/>
          <w:sz w:val="24"/>
          <w:szCs w:val="24"/>
        </w:rPr>
        <w:t xml:space="preserve">16.2 Data Tables</w:t>
      </w:r>
    </w:p>
    <w:p>
      <w:pPr>
        <w:spacing w:after="160" w:before="0"/>
      </w:pPr>
      <w:r>
        <w:t xml:space="preserve">See Section 3.3 for the full table inventory: managermaster (11,135 rows), manageraliases (20,679 rows), holding13f_normalized (249,511 rows), filing13f (43,358 rows), filing13f_other_managers (33,822 rows).</w:t>
      </w:r>
    </w:p>
    <w:p>
      <w:pPr>
        <w:pStyle w:val="Heading2"/>
        <w:spacing w:after="120" w:before="240"/>
      </w:pPr>
      <w:r>
        <w:rPr>
          <w:b/>
          <w:bCs/>
          <w:sz w:val="24"/>
          <w:szCs w:val="24"/>
        </w:rPr>
        <w:t xml:space="preserve">16.3 Holdings Scope (permanent decision)</w:t>
      </w:r>
    </w:p>
    <w:p>
      <w:pPr>
        <w:spacing w:after="160" w:before="0"/>
      </w:pPr>
      <w:r>
        <w:t xml:space="preserve">Track A: the top 150 filers by AUM, capped at 1,000 positions each.</w:t>
      </w:r>
    </w:p>
    <w:p>
      <w:pPr>
        <w:spacing w:after="160" w:before="0"/>
      </w:pPr>
      <w:r>
        <w:t xml:space="preserve">Track B/C: 20 named mega-filers, with a dynamic 80%-of-value cutoff, capped at 600 positions each.</w:t>
      </w:r>
    </w:p>
    <w:p>
      <w:pPr>
        <w:spacing w:after="160" w:before="0"/>
      </w:pPr>
      <w:r>
        <w:t xml:space="preserve">Always-include list (6 funds, regardless of size): Pershing Square (CIK 0001336528), Lone Pine (0001061165), Baker Bros (0001263508), Third Point (0001040273), D1 Capital (0001747057), Davidson Kempner (0001595082).</w:t>
      </w:r>
    </w:p>
    <w:p>
      <w:pPr>
        <w:spacing w:after="160" w:before="0"/>
      </w:pPr>
      <w:r>
        <w:t xml:space="preserve">Prime broker exclusion (7 filers, excluded entirely as they are not genuine institutional positions): Morgan Stanley (0000895421), JPMorgan (0000019617), Goldman Sachs (0000886982), BofA (0000070858), RBC (0001000275), Wells Fargo (0000072971), BNY Mellon (0001390777).</w:t>
      </w:r>
    </w:p>
    <w:p>
      <w:pPr>
        <w:spacing w:after="160" w:before="0"/>
      </w:pPr>
      <w:r>
        <w:rPr>
          <w:i/>
          <w:iCs/>
        </w:rPr>
        <w:t xml:space="preserve">holding13f_raw was deliberately dropped from the design — the TSV is parsed directly to holding13f_normalized, with no raw mirror table (see Section 5).</w:t>
      </w:r>
    </w:p>
    <w:p>
      <w:pPr>
        <w:pStyle w:val="Heading2"/>
        <w:spacing w:after="120" w:before="240"/>
      </w:pPr>
      <w:r>
        <w:rPr>
          <w:b/>
          <w:bCs/>
          <w:sz w:val="24"/>
          <w:szCs w:val="24"/>
        </w:rPr>
        <w:t xml:space="preserve">16.4 Backend</w:t>
      </w:r>
    </w:p>
    <w:p>
      <w:pPr>
        <w:spacing w:after="160" w:before="0"/>
      </w:pPr>
      <w:r>
        <w:t xml:space="preserve">meridian-13f Worker, 4 routes (see Section 2.2), no cron — data is seeded via local scripts (Section 18.2), not live-refreshed on a schedule yet. Three-point safety check (gate S2.7) passed July 5, 2026.</w:t>
      </w:r>
    </w:p>
    <w:p>
      <w:pPr>
        <w:pStyle w:val="Heading2"/>
        <w:spacing w:after="120" w:before="240"/>
      </w:pPr>
      <w:r>
        <w:rPr>
          <w:b/>
          <w:bCs/>
          <w:sz w:val="24"/>
          <w:szCs w:val="24"/>
        </w:rPr>
        <w:t xml:space="preserve">16.5 Frontend</w:t>
      </w:r>
    </w:p>
    <w:p>
      <w:pPr>
        <w:spacing w:after="160" w:before="0"/>
      </w:pPr>
      <w:r>
        <w:t xml:space="preserve">ma-13f.js updated in Sprint 2 — new constants WORKER_13F_URL and WORKER_FILINGS_URL; 14 new mgr_-prefixed Manager page functions. UX approved at gate S2.19.</w:t>
      </w:r>
    </w:p>
    <w:p>
      <w:pPr>
        <w:pStyle w:val="Heading1"/>
        <w:spacing w:after="180" w:before="360"/>
      </w:pPr>
      <w:r>
        <w:rPr>
          <w:b/>
          <w:bCs/>
          <w:sz w:val="28"/>
          <w:szCs w:val="28"/>
        </w:rPr>
        <w:t xml:space="preserve">17. Module: Filings &amp; Issuer Intelligence (NEW — Sprint 2/3)</w:t>
      </w:r>
    </w:p>
    <w:p>
      <w:pPr>
        <w:pStyle w:val="Heading2"/>
        <w:spacing w:after="120" w:before="240"/>
      </w:pPr>
      <w:r>
        <w:rPr>
          <w:b/>
          <w:bCs/>
          <w:sz w:val="24"/>
          <w:szCs w:val="24"/>
        </w:rPr>
        <w:t xml:space="preserve">17.1 Purpose</w:t>
      </w:r>
    </w:p>
    <w:p>
      <w:pPr>
        <w:spacing w:after="160" w:before="0"/>
      </w:pPr>
      <w:r>
        <w:t xml:space="preserve">Surfaces SEC filing history, reported XBRL financial facts, and material-event history for issuers, and exposes it on the entity/Issuer detail page (Section 9.7).</w:t>
      </w:r>
    </w:p>
    <w:p>
      <w:pPr>
        <w:pStyle w:val="Heading2"/>
        <w:spacing w:after="120" w:before="240"/>
      </w:pPr>
      <w:r>
        <w:rPr>
          <w:b/>
          <w:bCs/>
          <w:sz w:val="24"/>
          <w:szCs w:val="24"/>
        </w:rPr>
        <w:t xml:space="preserve">17.2 Data Tables (Sprint 2)</w:t>
      </w:r>
    </w:p>
    <w:p>
      <w:pPr>
        <w:spacing w:after="160" w:before="0"/>
      </w:pPr>
      <w:r>
        <w:t xml:space="preserve">See Section 3.4 for the full inventory: issuerfilingmaster (75,110 rows — 10-K/10-Q/8-K for 3,182 issuers), financialfact_reported (41,321 rows — Phase 1 only, 500 priority issuers, 9 XBRL tags; Phase 2 for the remaining 2,682 issuers deferred to post-release, see Section 18.2), issuereventstream (49,564 rows — 4 material-event item codes: 1.01, 2.02, 5.02, 8.01, across 2,884 issuers).</w:t>
      </w:r>
    </w:p>
    <w:p>
      <w:pPr>
        <w:pStyle w:val="Heading2"/>
        <w:spacing w:after="120" w:before="240"/>
      </w:pPr>
      <w:r>
        <w:rPr>
          <w:b/>
          <w:bCs/>
          <w:sz w:val="24"/>
          <w:szCs w:val="24"/>
        </w:rPr>
        <w:t xml:space="preserve">17.3 Precomputed Serving Tables (Sprint 3)</w:t>
      </w:r>
    </w:p>
    <w:p>
      <w:pPr>
        <w:spacing w:after="160" w:before="0"/>
      </w:pPr>
      <w:r>
        <w:t xml:space="preserve">See Section 3.5 for the full inventory: managerissuerpositionquarterly (182,060 rows — Q4/Q3/Q2 2025 complete, Q1 2025 pending 3 backfill chunks; grain UNIQUE(cik, cusip, put_call, report_period)) and issuerperiodsummary (7,041 rows — latest annual + quarterly figure per issuer per XBRL tag, 711 rows carry a computed net_margin; grain UNIQUE(cik, xbrl_tag, period_type), self-maintaining via INSERT OR REPLACE).</w:t>
      </w:r>
    </w:p>
    <w:p>
      <w:pPr>
        <w:pStyle w:val="Heading2"/>
        <w:spacing w:after="120" w:before="240"/>
      </w:pPr>
      <w:r>
        <w:rPr>
          <w:b/>
          <w:bCs/>
          <w:sz w:val="24"/>
          <w:szCs w:val="24"/>
        </w:rPr>
        <w:t xml:space="preserve">17.4 Backend</w:t>
      </w:r>
    </w:p>
    <w:p>
      <w:pPr>
        <w:spacing w:after="160" w:before="0"/>
      </w:pPr>
      <w:r>
        <w:t xml:space="preserve">meridian-filings Worker — a SEC document proxy Worker with an SEC_ALLOWED_HOSTS allowlist for security, no cron. Three-point safety check (gate S2.16) passed July 13, 2026.</w:t>
      </w:r>
    </w:p>
    <w:p>
      <w:pPr>
        <w:pStyle w:val="Heading2"/>
        <w:spacing w:after="120" w:before="240"/>
      </w:pPr>
      <w:r>
        <w:rPr>
          <w:b/>
          <w:bCs/>
          <w:sz w:val="24"/>
          <w:szCs w:val="24"/>
        </w:rPr>
        <w:t xml:space="preserve">17.5 Frontend — Issuer Page</w:t>
      </w:r>
    </w:p>
    <w:p>
      <w:pPr>
        <w:spacing w:after="160" w:before="0"/>
      </w:pPr>
      <w:r>
        <w:t xml:space="preserve">No separate ma-issuer.js file. The Issuer page extends ma-entities.js (see Section 9.7 for full detail) via 6 new ent_-prefixed functions — ent_renderOwnership, ent_renderFinancials, ent_renderEvents, ent_renderFilings, ent_renderOverlap, ent_injectIssuerPanels — plus a formatValue helper and a null guard added to showEntityOverlay. Backed by a new route, /api/entities/:id/issuer-panels, on meridian-entities-api (redeployed as version d0c7e2e0).</w:t>
      </w:r>
    </w:p>
    <w:p>
      <w:pPr>
        <w:pStyle w:val="Heading1"/>
        <w:spacing w:after="180" w:before="360"/>
      </w:pPr>
      <w:r>
        <w:rPr>
          <w:b/>
          <w:bCs/>
          <w:sz w:val="28"/>
          <w:szCs w:val="28"/>
        </w:rPr>
        <w:t xml:space="preserve">18. Sprint Record — July Sprint 2 &amp; 3</w:t>
      </w:r>
    </w:p>
    <w:p>
      <w:pPr>
        <w:pStyle w:val="Heading2"/>
        <w:spacing w:after="120" w:before="240"/>
      </w:pPr>
      <w:r>
        <w:rPr>
          <w:b/>
          <w:bCs/>
          <w:sz w:val="24"/>
          <w:szCs w:val="24"/>
        </w:rPr>
        <w:t xml:space="preserve">18.1 Sprint Status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2419"/>
        <w:gridCol w:w="6048"/>
      </w:tblGrid>
      <w:tr>
        <w:trPr>
          <w:tblHeader/>
        </w:trPr>
        <w:tc>
          <w:tcPr>
            <w:tcW w:type="dxa" w:w="1613"/>
            <w:shd w:fill="D9E2F3" w:val="clear"/>
            <w:tcMar>
              <w:top w:type="dxa" w:w="80"/>
              <w:left w:type="dxa" w:w="100"/>
              <w:bottom w:type="dxa" w:w="80"/>
              <w:right w:type="dxa" w:w="100"/>
            </w:tcMar>
          </w:tcPr>
          <w:p>
            <w:r>
              <w:rPr>
                <w:b/>
                <w:bCs/>
                <w:sz w:val="20"/>
                <w:szCs w:val="20"/>
              </w:rPr>
              <w:t xml:space="preserve">Sprint</w:t>
            </w:r>
          </w:p>
        </w:tc>
        <w:tc>
          <w:tcPr>
            <w:tcW w:type="dxa" w:w="2419"/>
            <w:shd w:fill="D9E2F3" w:val="clear"/>
            <w:tcMar>
              <w:top w:type="dxa" w:w="80"/>
              <w:left w:type="dxa" w:w="100"/>
              <w:bottom w:type="dxa" w:w="80"/>
              <w:right w:type="dxa" w:w="100"/>
            </w:tcMar>
          </w:tcPr>
          <w:p>
            <w:r>
              <w:rPr>
                <w:b/>
                <w:bCs/>
                <w:sz w:val="20"/>
                <w:szCs w:val="20"/>
              </w:rPr>
              <w:t xml:space="preserve">Dates</w:t>
            </w:r>
          </w:p>
        </w:tc>
        <w:tc>
          <w:tcPr>
            <w:tcW w:type="dxa" w:w="6048"/>
            <w:shd w:fill="D9E2F3" w:val="clear"/>
            <w:tcMar>
              <w:top w:type="dxa" w:w="80"/>
              <w:left w:type="dxa" w:w="100"/>
              <w:bottom w:type="dxa" w:w="80"/>
              <w:right w:type="dxa" w:w="100"/>
            </w:tcMar>
          </w:tcPr>
          <w:p>
            <w:r>
              <w:rPr>
                <w:b/>
                <w:bCs/>
                <w:sz w:val="20"/>
                <w:szCs w:val="20"/>
              </w:rPr>
              <w:t xml:space="preserve">Status</w:t>
            </w:r>
          </w:p>
        </w:tc>
      </w:tr>
      <w:tr>
        <w:tc>
          <w:tcPr>
            <w:tcW w:type="dxa" w:w="1613"/>
            <w:tcMar>
              <w:top w:type="dxa" w:w="80"/>
              <w:left w:type="dxa" w:w="100"/>
              <w:bottom w:type="dxa" w:w="80"/>
              <w:right w:type="dxa" w:w="100"/>
            </w:tcMar>
          </w:tcPr>
          <w:p>
            <w:r>
              <w:rPr>
                <w:sz w:val="20"/>
                <w:szCs w:val="20"/>
              </w:rPr>
              <w:t xml:space="preserve">Sprint 1</w:t>
            </w:r>
          </w:p>
        </w:tc>
        <w:tc>
          <w:tcPr>
            <w:tcW w:type="dxa" w:w="2419"/>
            <w:tcMar>
              <w:top w:type="dxa" w:w="80"/>
              <w:left w:type="dxa" w:w="100"/>
              <w:bottom w:type="dxa" w:w="80"/>
              <w:right w:type="dxa" w:w="100"/>
            </w:tcMar>
          </w:tcPr>
          <w:p>
            <w:r>
              <w:rPr>
                <w:sz w:val="20"/>
                <w:szCs w:val="20"/>
              </w:rPr>
              <w:t xml:space="preserve">June 23 – July 6</w:t>
            </w:r>
          </w:p>
        </w:tc>
        <w:tc>
          <w:tcPr>
            <w:tcW w:type="dxa" w:w="6048"/>
            <w:tcMar>
              <w:top w:type="dxa" w:w="80"/>
              <w:left w:type="dxa" w:w="100"/>
              <w:bottom w:type="dxa" w:w="80"/>
              <w:right w:type="dxa" w:w="100"/>
            </w:tcMar>
          </w:tcPr>
          <w:p>
            <w:r>
              <w:rPr>
                <w:sz w:val="20"/>
                <w:szCs w:val="20"/>
              </w:rPr>
              <w:t xml:space="preserve">CLOSED. All 8 gates passed.</w:t>
            </w:r>
          </w:p>
        </w:tc>
      </w:tr>
      <w:tr>
        <w:tc>
          <w:tcPr>
            <w:tcW w:type="dxa" w:w="1613"/>
            <w:tcMar>
              <w:top w:type="dxa" w:w="80"/>
              <w:left w:type="dxa" w:w="100"/>
              <w:bottom w:type="dxa" w:w="80"/>
              <w:right w:type="dxa" w:w="100"/>
            </w:tcMar>
          </w:tcPr>
          <w:p>
            <w:r>
              <w:rPr>
                <w:sz w:val="20"/>
                <w:szCs w:val="20"/>
              </w:rPr>
              <w:t xml:space="preserve">Sprint 2</w:t>
            </w:r>
          </w:p>
        </w:tc>
        <w:tc>
          <w:tcPr>
            <w:tcW w:type="dxa" w:w="2419"/>
            <w:tcMar>
              <w:top w:type="dxa" w:w="80"/>
              <w:left w:type="dxa" w:w="100"/>
              <w:bottom w:type="dxa" w:w="80"/>
              <w:right w:type="dxa" w:w="100"/>
            </w:tcMar>
          </w:tcPr>
          <w:p>
            <w:r>
              <w:rPr>
                <w:sz w:val="20"/>
                <w:szCs w:val="20"/>
              </w:rPr>
              <w:t xml:space="preserve">July 7 – July 20</w:t>
            </w:r>
          </w:p>
        </w:tc>
        <w:tc>
          <w:tcPr>
            <w:tcW w:type="dxa" w:w="6048"/>
            <w:tcMar>
              <w:top w:type="dxa" w:w="80"/>
              <w:left w:type="dxa" w:w="100"/>
              <w:bottom w:type="dxa" w:w="80"/>
              <w:right w:type="dxa" w:w="100"/>
            </w:tcMar>
          </w:tcPr>
          <w:p>
            <w:r>
              <w:rPr>
                <w:sz w:val="20"/>
                <w:szCs w:val="20"/>
              </w:rPr>
              <w:t xml:space="preserve">CLOSED. All gates passed. All 8 new data tables seeded. Manager page live.</w:t>
            </w:r>
          </w:p>
        </w:tc>
      </w:tr>
      <w:tr>
        <w:tc>
          <w:tcPr>
            <w:tcW w:type="dxa" w:w="1613"/>
            <w:tcMar>
              <w:top w:type="dxa" w:w="80"/>
              <w:left w:type="dxa" w:w="100"/>
              <w:bottom w:type="dxa" w:w="80"/>
              <w:right w:type="dxa" w:w="100"/>
            </w:tcMar>
          </w:tcPr>
          <w:p>
            <w:r>
              <w:rPr>
                <w:sz w:val="20"/>
                <w:szCs w:val="20"/>
              </w:rPr>
              <w:t xml:space="preserve">Sprint 3</w:t>
            </w:r>
          </w:p>
        </w:tc>
        <w:tc>
          <w:tcPr>
            <w:tcW w:type="dxa" w:w="2419"/>
            <w:tcMar>
              <w:top w:type="dxa" w:w="80"/>
              <w:left w:type="dxa" w:w="100"/>
              <w:bottom w:type="dxa" w:w="80"/>
              <w:right w:type="dxa" w:w="100"/>
            </w:tcMar>
          </w:tcPr>
          <w:p>
            <w:r>
              <w:rPr>
                <w:sz w:val="20"/>
                <w:szCs w:val="20"/>
              </w:rPr>
              <w:t xml:space="preserve">July 21 – July 31</w:t>
            </w:r>
          </w:p>
        </w:tc>
        <w:tc>
          <w:tcPr>
            <w:tcW w:type="dxa" w:w="6048"/>
            <w:tcMar>
              <w:top w:type="dxa" w:w="80"/>
              <w:left w:type="dxa" w:w="100"/>
              <w:bottom w:type="dxa" w:w="80"/>
              <w:right w:type="dxa" w:w="100"/>
            </w:tcMar>
          </w:tcPr>
          <w:p>
            <w:r>
              <w:rPr>
                <w:sz w:val="20"/>
                <w:szCs w:val="20"/>
              </w:rPr>
              <w:t xml:space="preserve">Gates passed through S3.14 (UX approved July 21, Architect approved July 21, Operations passed July 22). Bugs found in local testing (items 11-14) fixed and independently verified July 23, 2026 — see Section 15.7.</w:t>
            </w:r>
          </w:p>
        </w:tc>
      </w:tr>
      <w:tr>
        <w:tc>
          <w:tcPr>
            <w:tcW w:type="dxa" w:w="1613"/>
            <w:tcMar>
              <w:top w:type="dxa" w:w="80"/>
              <w:left w:type="dxa" w:w="100"/>
              <w:bottom w:type="dxa" w:w="80"/>
              <w:right w:type="dxa" w:w="100"/>
            </w:tcMar>
          </w:tcPr>
          <w:p>
            <w:r>
              <w:rPr>
                <w:sz w:val="20"/>
                <w:szCs w:val="20"/>
              </w:rPr>
              <w:t xml:space="preserve">Sprint 4</w:t>
            </w:r>
          </w:p>
        </w:tc>
        <w:tc>
          <w:tcPr>
            <w:tcW w:type="dxa" w:w="2419"/>
            <w:tcMar>
              <w:top w:type="dxa" w:w="80"/>
              <w:left w:type="dxa" w:w="100"/>
              <w:bottom w:type="dxa" w:w="80"/>
              <w:right w:type="dxa" w:w="100"/>
            </w:tcMar>
          </w:tcPr>
          <w:p>
            <w:r>
              <w:rPr>
                <w:sz w:val="20"/>
                <w:szCs w:val="20"/>
              </w:rPr>
              <w:t xml:space="preserve">July 24 – July 26</w:t>
            </w:r>
          </w:p>
        </w:tc>
        <w:tc>
          <w:tcPr>
            <w:tcW w:type="dxa" w:w="6048"/>
            <w:tcMar>
              <w:top w:type="dxa" w:w="80"/>
              <w:left w:type="dxa" w:w="100"/>
              <w:bottom w:type="dxa" w:w="80"/>
              <w:right w:type="dxa" w:w="100"/>
            </w:tcMar>
          </w:tcPr>
          <w:p>
            <w:r>
              <w:rPr>
                <w:sz w:val="20"/>
                <w:szCs w:val="20"/>
              </w:rPr>
              <w:t xml:space="preserve">CLOSED. Verification and hardening sprint driven by live user testing rather than a pre-planned gate schedule. Fixed a real Issuer-panels wiring gap, smart-routed 13F manager search to the entity-linked Manager Page, closed the Bridgewater 13F data gap end-to-end, improved entity_master CIK matching (3,182 to 4,052 of 10,705), found and root-caused a significant D1 write-budget incident in meridian-holdings, and shipped the full Sprint 2/3/4 branch to GitHub Pages. See Section 21 for full detail.</w:t>
            </w:r>
          </w:p>
        </w:tc>
      </w:tr>
    </w:tbl>
    <w:p>
      <w:pPr>
        <w:pStyle w:val="Heading2"/>
        <w:spacing w:after="120" w:before="240"/>
      </w:pPr>
      <w:r>
        <w:rPr>
          <w:b/>
          <w:bCs/>
          <w:sz w:val="24"/>
          <w:szCs w:val="24"/>
        </w:rPr>
        <w:t xml:space="preserve">18.2 Data Backfill Remaining (post-release, background)</w:t>
      </w:r>
    </w:p>
    <w:p>
      <w:pPr>
        <w:spacing w:after="160" w:before="0"/>
      </w:pPr>
      <w:r>
        <w:rPr>
          <w:b/>
          <w:bCs/>
        </w:rPr>
        <w:t xml:space="preserve">managerissuerpositionquarterly Q1 2025 — 3 chunks remaining.</w:t>
      </w:r>
    </w:p>
    <w:p>
      <w:pPr>
        <w:spacing w:after="160" w:before="0"/>
      </w:pPr>
      <w:r>
        <w:t xml:space="preserve">Command: node seed-managerpositions.js --period=2025-03-31 --limit=23000 --offset=0 (then offset 23000, then 46000). Run from /June Refresh/ETF Refresh/. Budget: ~92K writes per chunk.</w:t>
      </w:r>
    </w:p>
    <w:p>
      <w:pPr>
        <w:spacing w:after="160" w:before="0"/>
      </w:pPr>
      <w:r>
        <w:rPr>
          <w:b/>
          <w:bCs/>
        </w:rPr>
        <w:t xml:space="preserve">financialfact_reported Phase 2 — 2,682 issuers remaining.</w:t>
      </w:r>
    </w:p>
    <w:p>
      <w:pPr>
        <w:spacing w:after="160" w:before="0"/>
      </w:pPr>
      <w:r>
        <w:t xml:space="preserve">Command: node seed-financialfact.js --offset=500 --limit=140 (run incrementally). Run from /July Refresh/Base Files /13F Seed/. Budget: ~13K rows/day at a 3x write multiplier.</w:t>
      </w:r>
    </w:p>
    <w:p>
      <w:pPr>
        <w:pStyle w:val="Heading2"/>
        <w:spacing w:after="120" w:before="240"/>
      </w:pPr>
      <w:r>
        <w:rPr>
          <w:b/>
          <w:bCs/>
          <w:sz w:val="24"/>
          <w:szCs w:val="24"/>
        </w:rPr>
        <w:t xml:space="preserve">18.3 Operational Tasks Queued for Post-Release</w:t>
      </w:r>
    </w:p>
    <w:p>
      <w:pPr>
        <w:pStyle w:val="ListParagraph"/>
        <w:numPr>
          <w:ilvl w:val="0"/>
          <w:numId w:val="1"/>
        </w:numPr>
        <w:spacing w:after="80"/>
      </w:pPr>
      <w:r>
        <w:rPr>
          <w:sz w:val="21"/>
          <w:szCs w:val="21"/>
        </w:rPr>
        <w:t xml:space="preserve">Re-enable meridian-entities-seed: change crons=[] to crons=["0 3 1 * *"] in wrangler-entities-seed.toml, deploy</w:t>
      </w:r>
    </w:p>
    <w:p>
      <w:pPr>
        <w:pStyle w:val="ListParagraph"/>
        <w:numPr>
          <w:ilvl w:val="0"/>
          <w:numId w:val="1"/>
        </w:numPr>
        <w:spacing w:after="80"/>
      </w:pPr>
      <w:r>
        <w:rPr>
          <w:sz w:val="21"/>
          <w:szCs w:val="21"/>
        </w:rPr>
        <w:t xml:space="preserve">Re-enable meridian-entities-enrich: change crons=[] to crons=["0 */4 * * *"] in wrangler-entities-enrich.toml, deploy</w:t>
      </w:r>
    </w:p>
    <w:p>
      <w:pPr>
        <w:pStyle w:val="ListParagraph"/>
        <w:numPr>
          <w:ilvl w:val="0"/>
          <w:numId w:val="1"/>
        </w:numPr>
        <w:spacing w:after="80"/>
      </w:pPr>
      <w:r>
        <w:rPr>
          <w:sz w:val="21"/>
          <w:szCs w:val="21"/>
        </w:rPr>
        <w:t xml:space="preserve">Remove stale routes from meridian-proxy: delete /api/13f-search and /api/13f-filings from src/index.js, deploy</w:t>
      </w:r>
    </w:p>
    <w:p>
      <w:pPr>
        <w:pStyle w:val="ListParagraph"/>
        <w:numPr>
          <w:ilvl w:val="0"/>
          <w:numId w:val="1"/>
        </w:numPr>
        <w:spacing w:after="80"/>
      </w:pPr>
      <w:r>
        <w:rPr>
          <w:sz w:val="21"/>
          <w:szCs w:val="21"/>
        </w:rPr>
        <w:t xml:space="preserve">Add a monthly prune job for managerissuerpositionquarterly: DELETE FROM managerissuerpositionquarterly WHERE report_period &lt; date("now", "-24 months")</w:t>
      </w:r>
    </w:p>
    <w:p>
      <w:pPr>
        <w:pStyle w:val="ListParagraph"/>
        <w:numPr>
          <w:ilvl w:val="0"/>
          <w:numId w:val="1"/>
        </w:numPr>
        <w:spacing w:after="80"/>
      </w:pPr>
      <w:r>
        <w:rPr>
          <w:sz w:val="21"/>
          <w:szCs w:val="21"/>
        </w:rPr>
        <w:t xml:space="preserve">Investigate meridian-holdings' repeatedly-firing ALTER TABLE fund_holdings_monthly ADD COLUMN snapshot_status statement</w:t>
      </w:r>
    </w:p>
    <w:p>
      <w:pPr>
        <w:pStyle w:val="Heading2"/>
        <w:spacing w:after="120" w:before="240"/>
      </w:pPr>
      <w:r>
        <w:rPr>
          <w:b/>
          <w:bCs/>
          <w:sz w:val="24"/>
          <w:szCs w:val="24"/>
        </w:rPr>
        <w:t xml:space="preserve">18.4 Key Decisions Made This Sprint (Permanent Record)</w:t>
      </w:r>
    </w:p>
    <w:p>
      <w:pPr>
        <w:pStyle w:val="ListParagraph"/>
        <w:numPr>
          <w:ilvl w:val="0"/>
          <w:numId w:val="1"/>
        </w:numPr>
        <w:spacing w:after="80"/>
      </w:pPr>
      <w:r>
        <w:rPr>
          <w:sz w:val="21"/>
          <w:szCs w:val="21"/>
        </w:rPr>
        <w:t xml:space="preserve">holding13f_raw dropped — parse TSV directly to holding13f_normalized (no raw mirror table)</w:t>
      </w:r>
    </w:p>
    <w:p>
      <w:pPr>
        <w:pStyle w:val="ListParagraph"/>
        <w:numPr>
          <w:ilvl w:val="0"/>
          <w:numId w:val="1"/>
        </w:numPr>
        <w:spacing w:after="80"/>
      </w:pPr>
      <w:r>
        <w:rPr>
          <w:sz w:val="21"/>
          <w:szCs w:val="21"/>
        </w:rPr>
        <w:t xml:space="preserve">13F holdings scope: Track A + Track B/C + always-include list + prime broker exclusion — full detail in Section 16.3</w:t>
      </w:r>
    </w:p>
    <w:p>
      <w:pPr>
        <w:pStyle w:val="ListParagraph"/>
        <w:numPr>
          <w:ilvl w:val="0"/>
          <w:numId w:val="1"/>
        </w:numPr>
        <w:spacing w:after="80"/>
      </w:pPr>
      <w:r>
        <w:rPr>
          <w:sz w:val="21"/>
          <w:szCs w:val="21"/>
        </w:rPr>
        <w:t xml:space="preserve">financialfact_reported Phase 1 only at launch (500 priority issuers). Phase 2 backfill post-release.</w:t>
      </w:r>
    </w:p>
    <w:p>
      <w:pPr>
        <w:pStyle w:val="ListParagraph"/>
        <w:numPr>
          <w:ilvl w:val="0"/>
          <w:numId w:val="1"/>
        </w:numPr>
        <w:spacing w:after="80"/>
      </w:pPr>
      <w:r>
        <w:rPr>
          <w:sz w:val="21"/>
          <w:szCs w:val="21"/>
        </w:rPr>
        <w:t xml:space="preserve">No ma-issuer.js — Issuer page extends ma-entities.js via ent_-prefixed functions</w:t>
      </w:r>
    </w:p>
    <w:p>
      <w:pPr>
        <w:pStyle w:val="ListParagraph"/>
        <w:numPr>
          <w:ilvl w:val="0"/>
          <w:numId w:val="1"/>
        </w:numPr>
        <w:spacing w:after="80"/>
      </w:pPr>
      <w:r>
        <w:rPr>
          <w:sz w:val="21"/>
          <w:szCs w:val="21"/>
        </w:rPr>
        <w:t xml:space="preserve">managerissuerpositionquarterly grain: UNIQUE(cik, cusip, put_call, report_period) — put_call required after gate S3.1 caught a silent data-corruption bug</w:t>
      </w:r>
    </w:p>
    <w:p>
      <w:pPr>
        <w:pStyle w:val="ListParagraph"/>
        <w:numPr>
          <w:ilvl w:val="0"/>
          <w:numId w:val="1"/>
        </w:numPr>
        <w:spacing w:after="80"/>
      </w:pPr>
      <w:r>
        <w:rPr>
          <w:sz w:val="21"/>
          <w:szCs w:val="21"/>
        </w:rPr>
        <w:t xml:space="preserve">issuerperiodsummary grain: UNIQUE(cik, xbrl_tag, period_type) — latest-only snapshot via INSERT OR REPLACE, no time-based prune</w:t>
      </w:r>
    </w:p>
    <w:p>
      <w:pPr>
        <w:pStyle w:val="ListParagraph"/>
        <w:numPr>
          <w:ilvl w:val="0"/>
          <w:numId w:val="1"/>
        </w:numPr>
        <w:spacing w:after="80"/>
      </w:pPr>
      <w:r>
        <w:rPr>
          <w:sz w:val="21"/>
          <w:szCs w:val="21"/>
        </w:rPr>
        <w:t xml:space="preserve">D1 write multiplier confirmed empirically: 1 index = 2x writes, 2 indexes = 3x writes, 3 indexes = 4x writes per INSERT</w:t>
      </w:r>
    </w:p>
    <w:p>
      <w:pPr>
        <w:pStyle w:val="ListParagraph"/>
        <w:numPr>
          <w:ilvl w:val="0"/>
          <w:numId w:val="1"/>
        </w:numPr>
        <w:spacing w:after="80"/>
      </w:pPr>
      <w:r>
        <w:rPr>
          <w:sz w:val="21"/>
          <w:szCs w:val="21"/>
        </w:rPr>
        <w:t xml:space="preserve">Cloudflare free tier caps (100K writes/day, 5M reads/day) confirmed as soft caps — enforced by self-discipline, not hard-blocked; over-cap writes are accepted without data loss</w:t>
      </w:r>
    </w:p>
    <w:p>
      <w:pPr>
        <w:pStyle w:val="ListParagraph"/>
        <w:numPr>
          <w:ilvl w:val="0"/>
          <w:numId w:val="1"/>
        </w:numPr>
        <w:spacing w:after="80"/>
      </w:pPr>
      <w:r>
        <w:rPr>
          <w:sz w:val="21"/>
          <w:szCs w:val="21"/>
        </w:rPr>
        <w:t xml:space="preserve">entity_master.cik: nullable column added via ALTER TABLE, populated for 3,182 operating entities via name-match against SEC company_tickers_exchange.json</w:t>
      </w:r>
    </w:p>
    <w:p>
      <w:pPr>
        <w:pStyle w:val="ListParagraph"/>
        <w:numPr>
          <w:ilvl w:val="0"/>
          <w:numId w:val="1"/>
        </w:numPr>
        <w:spacing w:after="80"/>
      </w:pPr>
      <w:r>
        <w:rPr>
          <w:sz w:val="21"/>
          <w:szCs w:val="21"/>
        </w:rPr>
        <w:t xml:space="preserve">issuerfilingmaster: 1-year lookback (not 2 years), applied from Day 2 onward; Day 1 (2,100 issuers) used a 2-year window</w:t>
      </w:r>
    </w:p>
    <w:p>
      <w:pPr>
        <w:pStyle w:val="Heading1"/>
        <w:spacing w:after="180" w:before="360"/>
      </w:pPr>
      <w:r>
        <w:rPr>
          <w:b/>
          <w:bCs/>
          <w:sz w:val="28"/>
          <w:szCs w:val="28"/>
        </w:rPr>
        <w:t xml:space="preserve">19. Known Issues / Outstanding Items</w:t>
      </w:r>
    </w:p>
    <w:p>
      <w:pPr>
        <w:spacing w:after="160" w:before="0"/>
      </w:pPr>
      <w:r>
        <w:rPr>
          <w:i/>
          <w:iCs/>
        </w:rPr>
        <w:t xml:space="preserve">Items 11-15 below were found during local testing on July 23, 2026 (or are new operational items from the July Sprint) and, where noted, require verification in a fresh session before the Sprint 2/3 GitHub Pages deploy proceeds.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5"/>
        <w:gridCol w:w="4435"/>
        <w:gridCol w:w="1411"/>
        <w:gridCol w:w="3629"/>
      </w:tblGrid>
      <w:tr>
        <w:trPr>
          <w:tblHeader/>
        </w:trPr>
        <w:tc>
          <w:tcPr>
            <w:tcW w:type="dxa" w:w="605"/>
            <w:shd w:fill="D9E2F3" w:val="clear"/>
            <w:tcMar>
              <w:top w:type="dxa" w:w="80"/>
              <w:left w:type="dxa" w:w="100"/>
              <w:bottom w:type="dxa" w:w="80"/>
              <w:right w:type="dxa" w:w="100"/>
            </w:tcMar>
          </w:tcPr>
          <w:p>
            <w:r>
              <w:rPr>
                <w:b/>
                <w:bCs/>
                <w:sz w:val="20"/>
                <w:szCs w:val="20"/>
              </w:rPr>
              <w:t xml:space="preserve">#</w:t>
            </w:r>
          </w:p>
        </w:tc>
        <w:tc>
          <w:tcPr>
            <w:tcW w:type="dxa" w:w="4435"/>
            <w:shd w:fill="D9E2F3" w:val="clear"/>
            <w:tcMar>
              <w:top w:type="dxa" w:w="80"/>
              <w:left w:type="dxa" w:w="100"/>
              <w:bottom w:type="dxa" w:w="80"/>
              <w:right w:type="dxa" w:w="100"/>
            </w:tcMar>
          </w:tcPr>
          <w:p>
            <w:r>
              <w:rPr>
                <w:b/>
                <w:bCs/>
                <w:sz w:val="20"/>
                <w:szCs w:val="20"/>
              </w:rPr>
              <w:t xml:space="preserve">Item</w:t>
            </w:r>
          </w:p>
        </w:tc>
        <w:tc>
          <w:tcPr>
            <w:tcW w:type="dxa" w:w="1411"/>
            <w:shd w:fill="D9E2F3" w:val="clear"/>
            <w:tcMar>
              <w:top w:type="dxa" w:w="80"/>
              <w:left w:type="dxa" w:w="100"/>
              <w:bottom w:type="dxa" w:w="80"/>
              <w:right w:type="dxa" w:w="100"/>
            </w:tcMar>
          </w:tcPr>
          <w:p>
            <w:r>
              <w:rPr>
                <w:b/>
                <w:bCs/>
                <w:sz w:val="20"/>
                <w:szCs w:val="20"/>
              </w:rPr>
              <w:t xml:space="preserve">Priority</w:t>
            </w:r>
          </w:p>
        </w:tc>
        <w:tc>
          <w:tcPr>
            <w:tcW w:type="dxa" w:w="3629"/>
            <w:shd w:fill="D9E2F3" w:val="clear"/>
            <w:tcMar>
              <w:top w:type="dxa" w:w="80"/>
              <w:left w:type="dxa" w:w="100"/>
              <w:bottom w:type="dxa" w:w="80"/>
              <w:right w:type="dxa" w:w="100"/>
            </w:tcMar>
          </w:tcPr>
          <w:p>
            <w:r>
              <w:rPr>
                <w:b/>
                <w:bCs/>
                <w:sz w:val="20"/>
                <w:szCs w:val="20"/>
              </w:rPr>
              <w:t xml:space="preserve">State</w:t>
            </w:r>
          </w:p>
        </w:tc>
      </w:tr>
      <w:tr>
        <w:tc>
          <w:tcPr>
            <w:tcW w:type="dxa" w:w="605"/>
            <w:tcMar>
              <w:top w:type="dxa" w:w="80"/>
              <w:left w:type="dxa" w:w="100"/>
              <w:bottom w:type="dxa" w:w="80"/>
              <w:right w:type="dxa" w:w="100"/>
            </w:tcMar>
          </w:tcPr>
          <w:p>
            <w:r>
              <w:rPr>
                <w:sz w:val="20"/>
                <w:szCs w:val="20"/>
              </w:rPr>
              <w:t xml:space="preserve">1</w:t>
            </w:r>
          </w:p>
        </w:tc>
        <w:tc>
          <w:tcPr>
            <w:tcW w:type="dxa" w:w="4435"/>
            <w:tcMar>
              <w:top w:type="dxa" w:w="80"/>
              <w:left w:type="dxa" w:w="100"/>
              <w:bottom w:type="dxa" w:w="80"/>
              <w:right w:type="dxa" w:w="100"/>
            </w:tcMar>
          </w:tcPr>
          <w:p>
            <w:r>
              <w:rPr>
                <w:sz w:val="20"/>
                <w:szCs w:val="20"/>
              </w:rPr>
              <w:t xml:space="preserve">Local git repository history contains large data files that should never have been committed</w:t>
            </w:r>
          </w:p>
        </w:tc>
        <w:tc>
          <w:tcPr>
            <w:tcW w:type="dxa" w:w="1411"/>
            <w:tcMar>
              <w:top w:type="dxa" w:w="80"/>
              <w:left w:type="dxa" w:w="100"/>
              <w:bottom w:type="dxa" w:w="80"/>
              <w:right w:type="dxa" w:w="100"/>
            </w:tcMar>
          </w:tcPr>
          <w:p>
            <w:r>
              <w:rPr>
                <w:sz w:val="20"/>
                <w:szCs w:val="20"/>
              </w:rPr>
              <w:t xml:space="preserve">Low</w:t>
            </w:r>
          </w:p>
        </w:tc>
        <w:tc>
          <w:tcPr>
            <w:tcW w:type="dxa" w:w="3629"/>
            <w:tcMar>
              <w:top w:type="dxa" w:w="80"/>
              <w:left w:type="dxa" w:w="100"/>
              <w:bottom w:type="dxa" w:w="80"/>
              <w:right w:type="dxa" w:w="100"/>
            </w:tcMar>
          </w:tcPr>
          <w:p>
            <w:r>
              <w:rPr>
                <w:sz w:val="20"/>
                <w:szCs w:val="20"/>
              </w:rPr>
              <w:t xml:space="preserve">OPEN — recommend .gitignore and/or history-rewrite cleanup session</w:t>
            </w:r>
          </w:p>
        </w:tc>
      </w:tr>
      <w:tr>
        <w:tc>
          <w:tcPr>
            <w:tcW w:type="dxa" w:w="605"/>
            <w:tcMar>
              <w:top w:type="dxa" w:w="80"/>
              <w:left w:type="dxa" w:w="100"/>
              <w:bottom w:type="dxa" w:w="80"/>
              <w:right w:type="dxa" w:w="100"/>
            </w:tcMar>
          </w:tcPr>
          <w:p>
            <w:r>
              <w:rPr>
                <w:sz w:val="20"/>
                <w:szCs w:val="20"/>
              </w:rPr>
              <w:t xml:space="preserve">2</w:t>
            </w:r>
          </w:p>
        </w:tc>
        <w:tc>
          <w:tcPr>
            <w:tcW w:type="dxa" w:w="4435"/>
            <w:tcMar>
              <w:top w:type="dxa" w:w="80"/>
              <w:left w:type="dxa" w:w="100"/>
              <w:bottom w:type="dxa" w:w="80"/>
              <w:right w:type="dxa" w:w="100"/>
            </w:tcMar>
          </w:tcPr>
          <w:p>
            <w:r>
              <w:rPr>
                <w:sz w:val="20"/>
                <w:szCs w:val="20"/>
              </w:rPr>
              <w:t xml:space="preserve">ma-modal.js, ma-search.js, ma-research.js, ma-13f.js were deployed but not touched/tested in the June cycle</w:t>
            </w:r>
          </w:p>
        </w:tc>
        <w:tc>
          <w:tcPr>
            <w:tcW w:type="dxa" w:w="1411"/>
            <w:tcMar>
              <w:top w:type="dxa" w:w="80"/>
              <w:left w:type="dxa" w:w="100"/>
              <w:bottom w:type="dxa" w:w="80"/>
              <w:right w:type="dxa" w:w="100"/>
            </w:tcMar>
          </w:tcPr>
          <w:p>
            <w:r>
              <w:rPr>
                <w:sz w:val="20"/>
                <w:szCs w:val="20"/>
              </w:rPr>
              <w:t xml:space="preserve">Medium</w:t>
            </w:r>
          </w:p>
        </w:tc>
        <w:tc>
          <w:tcPr>
            <w:tcW w:type="dxa" w:w="3629"/>
            <w:tcMar>
              <w:top w:type="dxa" w:w="80"/>
              <w:left w:type="dxa" w:w="100"/>
              <w:bottom w:type="dxa" w:w="80"/>
              <w:right w:type="dxa" w:w="100"/>
            </w:tcMar>
          </w:tcPr>
          <w:p>
            <w:r>
              <w:rPr>
                <w:sz w:val="20"/>
                <w:szCs w:val="20"/>
              </w:rPr>
              <w:t xml:space="preserve">OPEN as of June 21; ma-13f.js has since received substantial Sprint 2 changes and Sprint 2 UX approval (S2.19) — the other three remain untested since June</w:t>
            </w:r>
          </w:p>
        </w:tc>
      </w:tr>
      <w:tr>
        <w:tc>
          <w:tcPr>
            <w:tcW w:type="dxa" w:w="605"/>
            <w:tcMar>
              <w:top w:type="dxa" w:w="80"/>
              <w:left w:type="dxa" w:w="100"/>
              <w:bottom w:type="dxa" w:w="80"/>
              <w:right w:type="dxa" w:w="100"/>
            </w:tcMar>
          </w:tcPr>
          <w:p>
            <w:r>
              <w:rPr>
                <w:sz w:val="20"/>
                <w:szCs w:val="20"/>
              </w:rPr>
              <w:t xml:space="preserve">3</w:t>
            </w:r>
          </w:p>
        </w:tc>
        <w:tc>
          <w:tcPr>
            <w:tcW w:type="dxa" w:w="4435"/>
            <w:tcMar>
              <w:top w:type="dxa" w:w="80"/>
              <w:left w:type="dxa" w:w="100"/>
              <w:bottom w:type="dxa" w:w="80"/>
              <w:right w:type="dxa" w:w="100"/>
            </w:tcMar>
          </w:tcPr>
          <w:p>
            <w:r>
              <w:rPr>
                <w:sz w:val="20"/>
                <w:szCs w:val="20"/>
              </w:rPr>
              <w:t xml:space="preserve">meridian-entities-delta's monthly self-correction logic is built/deployed but cron remains frozen</w:t>
            </w:r>
          </w:p>
        </w:tc>
        <w:tc>
          <w:tcPr>
            <w:tcW w:type="dxa" w:w="1411"/>
            <w:tcMar>
              <w:top w:type="dxa" w:w="80"/>
              <w:left w:type="dxa" w:w="100"/>
              <w:bottom w:type="dxa" w:w="80"/>
              <w:right w:type="dxa" w:w="100"/>
            </w:tcMar>
          </w:tcPr>
          <w:p>
            <w:r>
              <w:rPr>
                <w:sz w:val="20"/>
                <w:szCs w:val="20"/>
              </w:rPr>
              <w:t xml:space="preserve">Low</w:t>
            </w:r>
          </w:p>
        </w:tc>
        <w:tc>
          <w:tcPr>
            <w:tcW w:type="dxa" w:w="3629"/>
            <w:tcMar>
              <w:top w:type="dxa" w:w="80"/>
              <w:left w:type="dxa" w:w="100"/>
              <w:bottom w:type="dxa" w:w="80"/>
              <w:right w:type="dxa" w:w="100"/>
            </w:tcMar>
          </w:tcPr>
          <w:p>
            <w:r>
              <w:rPr>
                <w:sz w:val="20"/>
                <w:szCs w:val="20"/>
              </w:rPr>
              <w:t xml:space="preserve">OPEN — activate once a stable period post-launch is reached</w:t>
            </w:r>
          </w:p>
        </w:tc>
      </w:tr>
      <w:tr>
        <w:tc>
          <w:tcPr>
            <w:tcW w:type="dxa" w:w="605"/>
            <w:tcMar>
              <w:top w:type="dxa" w:w="80"/>
              <w:left w:type="dxa" w:w="100"/>
              <w:bottom w:type="dxa" w:w="80"/>
              <w:right w:type="dxa" w:w="100"/>
            </w:tcMar>
          </w:tcPr>
          <w:p>
            <w:r>
              <w:rPr>
                <w:sz w:val="20"/>
                <w:szCs w:val="20"/>
              </w:rPr>
              <w:t xml:space="preserve">4</w:t>
            </w:r>
          </w:p>
        </w:tc>
        <w:tc>
          <w:tcPr>
            <w:tcW w:type="dxa" w:w="4435"/>
            <w:tcMar>
              <w:top w:type="dxa" w:w="80"/>
              <w:left w:type="dxa" w:w="100"/>
              <w:bottom w:type="dxa" w:w="80"/>
              <w:right w:type="dxa" w:w="100"/>
            </w:tcMar>
          </w:tcPr>
          <w:p>
            <w:r>
              <w:rPr>
                <w:sz w:val="20"/>
                <w:szCs w:val="20"/>
              </w:rPr>
              <w:t xml:space="preserve">Fund Manager relationship data points to SEC trust filer names, not true GLEIF manager entities</w:t>
            </w:r>
          </w:p>
        </w:tc>
        <w:tc>
          <w:tcPr>
            <w:tcW w:type="dxa" w:w="1411"/>
            <w:tcMar>
              <w:top w:type="dxa" w:w="80"/>
              <w:left w:type="dxa" w:w="100"/>
              <w:bottom w:type="dxa" w:w="80"/>
              <w:right w:type="dxa" w:w="100"/>
            </w:tcMar>
          </w:tcPr>
          <w:p>
            <w:r>
              <w:rPr>
                <w:sz w:val="20"/>
                <w:szCs w:val="20"/>
              </w:rPr>
              <w:t xml:space="preserve">Medium</w:t>
            </w:r>
          </w:p>
        </w:tc>
        <w:tc>
          <w:tcPr>
            <w:tcW w:type="dxa" w:w="3629"/>
            <w:tcMar>
              <w:top w:type="dxa" w:w="80"/>
              <w:left w:type="dxa" w:w="100"/>
              <w:bottom w:type="dxa" w:w="80"/>
              <w:right w:type="dxa" w:w="100"/>
            </w:tcMar>
          </w:tcPr>
          <w:p>
            <w:r>
              <w:rPr>
                <w:sz w:val="20"/>
                <w:szCs w:val="20"/>
              </w:rPr>
              <w:t xml:space="preserve">OPEN — backlog, no committed timeline</w:t>
            </w:r>
          </w:p>
        </w:tc>
      </w:tr>
      <w:tr>
        <w:tc>
          <w:tcPr>
            <w:tcW w:type="dxa" w:w="605"/>
            <w:tcMar>
              <w:top w:type="dxa" w:w="80"/>
              <w:left w:type="dxa" w:w="100"/>
              <w:bottom w:type="dxa" w:w="80"/>
              <w:right w:type="dxa" w:w="100"/>
            </w:tcMar>
          </w:tcPr>
          <w:p>
            <w:r>
              <w:rPr>
                <w:sz w:val="20"/>
                <w:szCs w:val="20"/>
              </w:rPr>
              <w:t xml:space="preserve">5</w:t>
            </w:r>
          </w:p>
        </w:tc>
        <w:tc>
          <w:tcPr>
            <w:tcW w:type="dxa" w:w="4435"/>
            <w:tcMar>
              <w:top w:type="dxa" w:w="80"/>
              <w:left w:type="dxa" w:w="100"/>
              <w:bottom w:type="dxa" w:w="80"/>
              <w:right w:type="dxa" w:w="100"/>
            </w:tcMar>
          </w:tcPr>
          <w:p>
            <w:r>
              <w:rPr>
                <w:sz w:val="20"/>
                <w:szCs w:val="20"/>
              </w:rPr>
              <w:t xml:space="preserve">No automated alerting for write-guard triggers, repeated errors, or a stalled coverage gate</w:t>
            </w:r>
          </w:p>
        </w:tc>
        <w:tc>
          <w:tcPr>
            <w:tcW w:type="dxa" w:w="1411"/>
            <w:tcMar>
              <w:top w:type="dxa" w:w="80"/>
              <w:left w:type="dxa" w:w="100"/>
              <w:bottom w:type="dxa" w:w="80"/>
              <w:right w:type="dxa" w:w="100"/>
            </w:tcMar>
          </w:tcPr>
          <w:p>
            <w:r>
              <w:rPr>
                <w:sz w:val="20"/>
                <w:szCs w:val="20"/>
              </w:rPr>
              <w:t xml:space="preserve">High</w:t>
            </w:r>
          </w:p>
        </w:tc>
        <w:tc>
          <w:tcPr>
            <w:tcW w:type="dxa" w:w="3629"/>
            <w:tcMar>
              <w:top w:type="dxa" w:w="80"/>
              <w:left w:type="dxa" w:w="100"/>
              <w:bottom w:type="dxa" w:w="80"/>
              <w:right w:type="dxa" w:w="100"/>
            </w:tcMar>
          </w:tcPr>
          <w:p>
            <w:r>
              <w:rPr>
                <w:sz w:val="20"/>
                <w:szCs w:val="20"/>
              </w:rPr>
              <w:t xml:space="preserve">OPEN — flagged in DEPLOYMENT_READINESS_2026-06-20.md</w:t>
            </w:r>
          </w:p>
        </w:tc>
      </w:tr>
      <w:tr>
        <w:tc>
          <w:tcPr>
            <w:tcW w:type="dxa" w:w="605"/>
            <w:tcMar>
              <w:top w:type="dxa" w:w="80"/>
              <w:left w:type="dxa" w:w="100"/>
              <w:bottom w:type="dxa" w:w="80"/>
              <w:right w:type="dxa" w:w="100"/>
            </w:tcMar>
          </w:tcPr>
          <w:p>
            <w:r>
              <w:rPr>
                <w:sz w:val="20"/>
                <w:szCs w:val="20"/>
              </w:rPr>
              <w:t xml:space="preserve">6</w:t>
            </w:r>
          </w:p>
        </w:tc>
        <w:tc>
          <w:tcPr>
            <w:tcW w:type="dxa" w:w="4435"/>
            <w:tcMar>
              <w:top w:type="dxa" w:w="80"/>
              <w:left w:type="dxa" w:w="100"/>
              <w:bottom w:type="dxa" w:w="80"/>
              <w:right w:type="dxa" w:w="100"/>
            </w:tcMar>
          </w:tcPr>
          <w:p>
            <w:r>
              <w:rPr>
                <w:sz w:val="20"/>
                <w:szCs w:val="20"/>
              </w:rPr>
              <w:t xml:space="preserve">No automated UAT or regression test suite exists</w:t>
            </w:r>
          </w:p>
        </w:tc>
        <w:tc>
          <w:tcPr>
            <w:tcW w:type="dxa" w:w="1411"/>
            <w:tcMar>
              <w:top w:type="dxa" w:w="80"/>
              <w:left w:type="dxa" w:w="100"/>
              <w:bottom w:type="dxa" w:w="80"/>
              <w:right w:type="dxa" w:w="100"/>
            </w:tcMar>
          </w:tcPr>
          <w:p>
            <w:r>
              <w:rPr>
                <w:sz w:val="20"/>
                <w:szCs w:val="20"/>
              </w:rPr>
              <w:t xml:space="preserve">High</w:t>
            </w:r>
          </w:p>
        </w:tc>
        <w:tc>
          <w:tcPr>
            <w:tcW w:type="dxa" w:w="3629"/>
            <w:tcMar>
              <w:top w:type="dxa" w:w="80"/>
              <w:left w:type="dxa" w:w="100"/>
              <w:bottom w:type="dxa" w:w="80"/>
              <w:right w:type="dxa" w:w="100"/>
            </w:tcMar>
          </w:tcPr>
          <w:p>
            <w:r>
              <w:rPr>
                <w:sz w:val="20"/>
                <w:szCs w:val="20"/>
              </w:rPr>
              <w:t xml:space="preserve">OPEN — same sustainability conversation as item 5</w:t>
            </w:r>
          </w:p>
        </w:tc>
      </w:tr>
      <w:tr>
        <w:tc>
          <w:tcPr>
            <w:tcW w:type="dxa" w:w="605"/>
            <w:tcMar>
              <w:top w:type="dxa" w:w="80"/>
              <w:left w:type="dxa" w:w="100"/>
              <w:bottom w:type="dxa" w:w="80"/>
              <w:right w:type="dxa" w:w="100"/>
            </w:tcMar>
          </w:tcPr>
          <w:p>
            <w:r>
              <w:rPr>
                <w:sz w:val="20"/>
                <w:szCs w:val="20"/>
              </w:rPr>
              <w:t xml:space="preserve">7</w:t>
            </w:r>
          </w:p>
        </w:tc>
        <w:tc>
          <w:tcPr>
            <w:tcW w:type="dxa" w:w="4435"/>
            <w:tcMar>
              <w:top w:type="dxa" w:w="80"/>
              <w:left w:type="dxa" w:w="100"/>
              <w:bottom w:type="dxa" w:w="80"/>
              <w:right w:type="dxa" w:w="100"/>
            </w:tcMar>
          </w:tcPr>
          <w:p>
            <w:r>
              <w:rPr>
                <w:sz w:val="20"/>
                <w:szCs w:val="20"/>
              </w:rPr>
              <w:t xml:space="preserve">13F persistence/analytics pipeline fully specified but deliberately not built in the June cycle</w:t>
            </w:r>
          </w:p>
        </w:tc>
        <w:tc>
          <w:tcPr>
            <w:tcW w:type="dxa" w:w="1411"/>
            <w:tcMar>
              <w:top w:type="dxa" w:w="80"/>
              <w:left w:type="dxa" w:w="100"/>
              <w:bottom w:type="dxa" w:w="80"/>
              <w:right w:type="dxa" w:w="100"/>
            </w:tcMar>
          </w:tcPr>
          <w:p>
            <w:r>
              <w:rPr>
                <w:sz w:val="20"/>
                <w:szCs w:val="20"/>
              </w:rPr>
              <w:t xml:space="preserve">Medium</w:t>
            </w:r>
          </w:p>
        </w:tc>
        <w:tc>
          <w:tcPr>
            <w:tcW w:type="dxa" w:w="3629"/>
            <w:tcMar>
              <w:top w:type="dxa" w:w="80"/>
              <w:left w:type="dxa" w:w="100"/>
              <w:bottom w:type="dxa" w:w="80"/>
              <w:right w:type="dxa" w:w="100"/>
            </w:tcMar>
          </w:tcPr>
          <w:p>
            <w:r>
              <w:rPr>
                <w:sz w:val="20"/>
                <w:szCs w:val="20"/>
              </w:rPr>
              <w:t xml:space="preserve">CLOSED — built and deployed in Sprint 2, see Section 16</w:t>
            </w:r>
          </w:p>
        </w:tc>
      </w:tr>
      <w:tr>
        <w:tc>
          <w:tcPr>
            <w:tcW w:type="dxa" w:w="605"/>
            <w:tcMar>
              <w:top w:type="dxa" w:w="80"/>
              <w:left w:type="dxa" w:w="100"/>
              <w:bottom w:type="dxa" w:w="80"/>
              <w:right w:type="dxa" w:w="100"/>
            </w:tcMar>
          </w:tcPr>
          <w:p>
            <w:r>
              <w:rPr>
                <w:sz w:val="20"/>
                <w:szCs w:val="20"/>
              </w:rPr>
              <w:t xml:space="preserve">8</w:t>
            </w:r>
          </w:p>
        </w:tc>
        <w:tc>
          <w:tcPr>
            <w:tcW w:type="dxa" w:w="4435"/>
            <w:tcMar>
              <w:top w:type="dxa" w:w="80"/>
              <w:left w:type="dxa" w:w="100"/>
              <w:bottom w:type="dxa" w:w="80"/>
              <w:right w:type="dxa" w:w="100"/>
            </w:tcMar>
          </w:tcPr>
          <w:p>
            <w:r>
              <w:rPr>
                <w:sz w:val="20"/>
                <w:szCs w:val="20"/>
              </w:rPr>
              <w:t xml:space="preserve">universe_changes_monthly remains disabled/stale since the June 12 incident</w:t>
            </w:r>
          </w:p>
        </w:tc>
        <w:tc>
          <w:tcPr>
            <w:tcW w:type="dxa" w:w="1411"/>
            <w:tcMar>
              <w:top w:type="dxa" w:w="80"/>
              <w:left w:type="dxa" w:w="100"/>
              <w:bottom w:type="dxa" w:w="80"/>
              <w:right w:type="dxa" w:w="100"/>
            </w:tcMar>
          </w:tcPr>
          <w:p>
            <w:r>
              <w:rPr>
                <w:sz w:val="20"/>
                <w:szCs w:val="20"/>
              </w:rPr>
              <w:t xml:space="preserve">Low</w:t>
            </w:r>
          </w:p>
        </w:tc>
        <w:tc>
          <w:tcPr>
            <w:tcW w:type="dxa" w:w="3629"/>
            <w:tcMar>
              <w:top w:type="dxa" w:w="80"/>
              <w:left w:type="dxa" w:w="100"/>
              <w:bottom w:type="dxa" w:w="80"/>
              <w:right w:type="dxa" w:w="100"/>
            </w:tcMar>
          </w:tcPr>
          <w:p>
            <w:r>
              <w:rPr>
                <w:sz w:val="20"/>
                <w:szCs w:val="20"/>
              </w:rPr>
              <w:t xml:space="preserve">OPEN — unchanged from v9</w:t>
            </w:r>
          </w:p>
        </w:tc>
      </w:tr>
      <w:tr>
        <w:tc>
          <w:tcPr>
            <w:tcW w:type="dxa" w:w="605"/>
            <w:tcMar>
              <w:top w:type="dxa" w:w="80"/>
              <w:left w:type="dxa" w:w="100"/>
              <w:bottom w:type="dxa" w:w="80"/>
              <w:right w:type="dxa" w:w="100"/>
            </w:tcMar>
          </w:tcPr>
          <w:p>
            <w:r>
              <w:rPr>
                <w:sz w:val="20"/>
                <w:szCs w:val="20"/>
              </w:rPr>
              <w:t xml:space="preserve">9</w:t>
            </w:r>
          </w:p>
        </w:tc>
        <w:tc>
          <w:tcPr>
            <w:tcW w:type="dxa" w:w="4435"/>
            <w:tcMar>
              <w:top w:type="dxa" w:w="80"/>
              <w:left w:type="dxa" w:w="100"/>
              <w:bottom w:type="dxa" w:w="80"/>
              <w:right w:type="dxa" w:w="100"/>
            </w:tcMar>
          </w:tcPr>
          <w:p>
            <w:r>
              <w:rPr>
                <w:sz w:val="20"/>
                <w:szCs w:val="20"/>
              </w:rPr>
              <w:t xml:space="preserve">QQQ has no resolved N-PORT series; QQQM provides equivalent exposure and is fully covered</w:t>
            </w:r>
          </w:p>
        </w:tc>
        <w:tc>
          <w:tcPr>
            <w:tcW w:type="dxa" w:w="1411"/>
            <w:tcMar>
              <w:top w:type="dxa" w:w="80"/>
              <w:left w:type="dxa" w:w="100"/>
              <w:bottom w:type="dxa" w:w="80"/>
              <w:right w:type="dxa" w:w="100"/>
            </w:tcMar>
          </w:tcPr>
          <w:p>
            <w:r>
              <w:rPr>
                <w:sz w:val="20"/>
                <w:szCs w:val="20"/>
              </w:rPr>
              <w:t xml:space="preserve">Low</w:t>
            </w:r>
          </w:p>
        </w:tc>
        <w:tc>
          <w:tcPr>
            <w:tcW w:type="dxa" w:w="3629"/>
            <w:tcMar>
              <w:top w:type="dxa" w:w="80"/>
              <w:left w:type="dxa" w:w="100"/>
              <w:bottom w:type="dxa" w:w="80"/>
              <w:right w:type="dxa" w:w="100"/>
            </w:tcMar>
          </w:tcPr>
          <w:p>
            <w:r>
              <w:rPr>
                <w:sz w:val="20"/>
                <w:szCs w:val="20"/>
              </w:rPr>
              <w:t xml:space="preserve">OPEN — accepted limitation</w:t>
            </w:r>
          </w:p>
        </w:tc>
      </w:tr>
      <w:tr>
        <w:tc>
          <w:tcPr>
            <w:tcW w:type="dxa" w:w="605"/>
            <w:tcMar>
              <w:top w:type="dxa" w:w="80"/>
              <w:left w:type="dxa" w:w="100"/>
              <w:bottom w:type="dxa" w:w="80"/>
              <w:right w:type="dxa" w:w="100"/>
            </w:tcMar>
          </w:tcPr>
          <w:p>
            <w:r>
              <w:rPr>
                <w:sz w:val="20"/>
                <w:szCs w:val="20"/>
              </w:rPr>
              <w:t xml:space="preserve">10</w:t>
            </w:r>
          </w:p>
        </w:tc>
        <w:tc>
          <w:tcPr>
            <w:tcW w:type="dxa" w:w="4435"/>
            <w:tcMar>
              <w:top w:type="dxa" w:w="80"/>
              <w:left w:type="dxa" w:w="100"/>
              <w:bottom w:type="dxa" w:w="80"/>
              <w:right w:type="dxa" w:w="100"/>
            </w:tcMar>
          </w:tcPr>
          <w:p>
            <w:r>
              <w:rPr>
                <w:sz w:val="20"/>
                <w:szCs w:val="20"/>
              </w:rPr>
              <w:t xml:space="preserve">Old, now-retired GitHub branches remain on the repository, unused by current Pages config</w:t>
            </w:r>
          </w:p>
        </w:tc>
        <w:tc>
          <w:tcPr>
            <w:tcW w:type="dxa" w:w="1411"/>
            <w:tcMar>
              <w:top w:type="dxa" w:w="80"/>
              <w:left w:type="dxa" w:w="100"/>
              <w:bottom w:type="dxa" w:w="80"/>
              <w:right w:type="dxa" w:w="100"/>
            </w:tcMar>
          </w:tcPr>
          <w:p>
            <w:r>
              <w:rPr>
                <w:sz w:val="20"/>
                <w:szCs w:val="20"/>
              </w:rPr>
              <w:t xml:space="preserve">Low</w:t>
            </w:r>
          </w:p>
        </w:tc>
        <w:tc>
          <w:tcPr>
            <w:tcW w:type="dxa" w:w="3629"/>
            <w:tcMar>
              <w:top w:type="dxa" w:w="80"/>
              <w:left w:type="dxa" w:w="100"/>
              <w:bottom w:type="dxa" w:w="80"/>
              <w:right w:type="dxa" w:w="100"/>
            </w:tcMar>
          </w:tcPr>
          <w:p>
            <w:r>
              <w:rPr>
                <w:sz w:val="20"/>
                <w:szCs w:val="20"/>
              </w:rPr>
              <w:t xml:space="preserve">OPEN — candidate for cleanup once stable</w:t>
            </w:r>
          </w:p>
        </w:tc>
      </w:tr>
      <w:tr>
        <w:tc>
          <w:tcPr>
            <w:tcW w:type="dxa" w:w="605"/>
            <w:tcMar>
              <w:top w:type="dxa" w:w="80"/>
              <w:left w:type="dxa" w:w="100"/>
              <w:bottom w:type="dxa" w:w="80"/>
              <w:right w:type="dxa" w:w="100"/>
            </w:tcMar>
          </w:tcPr>
          <w:p>
            <w:r>
              <w:rPr>
                <w:sz w:val="20"/>
                <w:szCs w:val="20"/>
              </w:rPr>
              <w:t xml:space="preserve">11</w:t>
            </w:r>
          </w:p>
        </w:tc>
        <w:tc>
          <w:tcPr>
            <w:tcW w:type="dxa" w:w="4435"/>
            <w:tcMar>
              <w:top w:type="dxa" w:w="80"/>
              <w:left w:type="dxa" w:w="100"/>
              <w:bottom w:type="dxa" w:w="80"/>
              <w:right w:type="dxa" w:w="100"/>
            </w:tcMar>
          </w:tcPr>
          <w:p>
            <w:r>
              <w:rPr>
                <w:sz w:val="20"/>
                <w:szCs w:val="20"/>
              </w:rPr>
              <w:t xml:space="preserve">Filing document links open raw SEC JSON instead of the rendered document</w:t>
            </w:r>
          </w:p>
        </w:tc>
        <w:tc>
          <w:tcPr>
            <w:tcW w:type="dxa" w:w="1411"/>
            <w:tcMar>
              <w:top w:type="dxa" w:w="80"/>
              <w:left w:type="dxa" w:w="100"/>
              <w:bottom w:type="dxa" w:w="80"/>
              <w:right w:type="dxa" w:w="100"/>
            </w:tcMar>
          </w:tcPr>
          <w:p>
            <w:r>
              <w:rPr>
                <w:sz w:val="20"/>
                <w:szCs w:val="20"/>
              </w:rPr>
              <w:t xml:space="preserve">Medium</w:t>
            </w:r>
          </w:p>
        </w:tc>
        <w:tc>
          <w:tcPr>
            <w:tcW w:type="dxa" w:w="3629"/>
            <w:tcMar>
              <w:top w:type="dxa" w:w="80"/>
              <w:left w:type="dxa" w:w="100"/>
              <w:bottom w:type="dxa" w:w="80"/>
              <w:right w:type="dxa" w:w="100"/>
            </w:tcMar>
          </w:tcPr>
          <w:p>
            <w:r>
              <w:rPr>
                <w:sz w:val="20"/>
                <w:szCs w:val="20"/>
              </w:rPr>
              <w:t xml:space="preserve">FIXED &amp; VERIFIED (July 23, 2026). Root cause: the no-primary_document fallback still routed a bare accession-folder URL through the meridian-filings proxy, which returns SEC's raw directory listing rather than a document. Fixed by linking directly to the real SEC -index.htm page for that case, bypassing the proxy. Confirmed via direct diff review and live SEC EDGAR resolution — client-side only, live as soon as ma-entities.js ships.</w:t>
            </w:r>
          </w:p>
        </w:tc>
      </w:tr>
      <w:tr>
        <w:tc>
          <w:tcPr>
            <w:tcW w:type="dxa" w:w="605"/>
            <w:tcMar>
              <w:top w:type="dxa" w:w="80"/>
              <w:left w:type="dxa" w:w="100"/>
              <w:bottom w:type="dxa" w:w="80"/>
              <w:right w:type="dxa" w:w="100"/>
            </w:tcMar>
          </w:tcPr>
          <w:p>
            <w:r>
              <w:rPr>
                <w:sz w:val="20"/>
                <w:szCs w:val="20"/>
              </w:rPr>
              <w:t xml:space="preserve">12</w:t>
            </w:r>
          </w:p>
        </w:tc>
        <w:tc>
          <w:tcPr>
            <w:tcW w:type="dxa" w:w="4435"/>
            <w:tcMar>
              <w:top w:type="dxa" w:w="80"/>
              <w:left w:type="dxa" w:w="100"/>
              <w:bottom w:type="dxa" w:w="80"/>
              <w:right w:type="dxa" w:w="100"/>
            </w:tcMar>
          </w:tcPr>
          <w:p>
            <w:r>
              <w:rPr>
                <w:sz w:val="20"/>
                <w:szCs w:val="20"/>
              </w:rPr>
              <w:t xml:space="preserve">Manager→Issuer cross-navigation may not be working</w:t>
            </w:r>
          </w:p>
        </w:tc>
        <w:tc>
          <w:tcPr>
            <w:tcW w:type="dxa" w:w="1411"/>
            <w:tcMar>
              <w:top w:type="dxa" w:w="80"/>
              <w:left w:type="dxa" w:w="100"/>
              <w:bottom w:type="dxa" w:w="80"/>
              <w:right w:type="dxa" w:w="100"/>
            </w:tcMar>
          </w:tcPr>
          <w:p>
            <w:r>
              <w:rPr>
                <w:sz w:val="20"/>
                <w:szCs w:val="20"/>
              </w:rPr>
              <w:t xml:space="preserve">Medium</w:t>
            </w:r>
          </w:p>
        </w:tc>
        <w:tc>
          <w:tcPr>
            <w:tcW w:type="dxa" w:w="3629"/>
            <w:tcMar>
              <w:top w:type="dxa" w:w="80"/>
              <w:left w:type="dxa" w:w="100"/>
              <w:bottom w:type="dxa" w:w="80"/>
              <w:right w:type="dxa" w:w="100"/>
            </w:tcMar>
          </w:tcPr>
          <w:p>
            <w:r>
              <w:rPr>
                <w:sz w:val="20"/>
                <w:szCs w:val="20"/>
              </w:rPr>
              <w:t xml:space="preserve">FIXED &amp; VERIFIED (July 23, 2026). Root cause differed from the original report: the click handler and data flow (mgr_openEntity → showEntityOverlay → ent_injectIssuerPanels) were already correct. The real bug was a z-index collision — the newly-opened entity overlay rendered underneath the still-open Manager Page overlay. Fixed via a shared incrementing z-index counter (_nextAtlasOverlayZ) so whichever overlay opened most recently wins, in either direction. Confirmed via diff review and live browser retest — client-side only, live as soon as ma-13f.js/ma-entities.js ship.</w:t>
            </w:r>
          </w:p>
        </w:tc>
      </w:tr>
      <w:tr>
        <w:tc>
          <w:tcPr>
            <w:tcW w:type="dxa" w:w="605"/>
            <w:tcMar>
              <w:top w:type="dxa" w:w="80"/>
              <w:left w:type="dxa" w:w="100"/>
              <w:bottom w:type="dxa" w:w="80"/>
              <w:right w:type="dxa" w:w="100"/>
            </w:tcMar>
          </w:tcPr>
          <w:p>
            <w:r>
              <w:rPr>
                <w:sz w:val="20"/>
                <w:szCs w:val="20"/>
              </w:rPr>
              <w:t xml:space="preserve">13</w:t>
            </w:r>
          </w:p>
        </w:tc>
        <w:tc>
          <w:tcPr>
            <w:tcW w:type="dxa" w:w="4435"/>
            <w:tcMar>
              <w:top w:type="dxa" w:w="80"/>
              <w:left w:type="dxa" w:w="100"/>
              <w:bottom w:type="dxa" w:w="80"/>
              <w:right w:type="dxa" w:w="100"/>
            </w:tcMar>
          </w:tcPr>
          <w:p>
            <w:r>
              <w:rPr>
                <w:sz w:val="20"/>
                <w:szCs w:val="20"/>
              </w:rPr>
              <w:t xml:space="preserve">ETF overlap panel showed a materially different ETF count than the ETF exposure strip (e.g. 4 vs 1 for Schneider Electric; 37 vs 12 for Microsoft)</w:t>
            </w:r>
          </w:p>
        </w:tc>
        <w:tc>
          <w:tcPr>
            <w:tcW w:type="dxa" w:w="1411"/>
            <w:tcMar>
              <w:top w:type="dxa" w:w="80"/>
              <w:left w:type="dxa" w:w="100"/>
              <w:bottom w:type="dxa" w:w="80"/>
              <w:right w:type="dxa" w:w="100"/>
            </w:tcMar>
          </w:tcPr>
          <w:p>
            <w:r>
              <w:rPr>
                <w:sz w:val="20"/>
                <w:szCs w:val="20"/>
              </w:rPr>
              <w:t xml:space="preserve">Medium</w:t>
            </w:r>
          </w:p>
        </w:tc>
        <w:tc>
          <w:tcPr>
            <w:tcW w:type="dxa" w:w="3629"/>
            <w:tcMar>
              <w:top w:type="dxa" w:w="80"/>
              <w:left w:type="dxa" w:w="100"/>
              <w:bottom w:type="dxa" w:w="80"/>
              <w:right w:type="dxa" w:w="100"/>
            </w:tcMar>
          </w:tcPr>
          <w:p>
            <w:r>
              <w:rPr>
                <w:sz w:val="20"/>
                <w:szCs w:val="20"/>
              </w:rPr>
              <w:t xml:space="preserve">FIXED &amp; DEPLOYED (July 24, 2026). Root cause found NOT to be by-design (the original v10 draft's copy-fix theory was wrong) — handleEtfExposure had no report_month filter, so ETFs appearing across multiple N-PORT periods were double-counted, while the overlap query correctly scoped to the latest month. Fixed in entities-api.js to compute the same MAX(report_month) cross-section the overlap query already used; independently confirmed both queries now match. meridian-entities-api redeployed (Version ID 68d0465f).</w:t>
            </w:r>
          </w:p>
        </w:tc>
      </w:tr>
      <w:tr>
        <w:tc>
          <w:tcPr>
            <w:tcW w:type="dxa" w:w="605"/>
            <w:tcMar>
              <w:top w:type="dxa" w:w="80"/>
              <w:left w:type="dxa" w:w="100"/>
              <w:bottom w:type="dxa" w:w="80"/>
              <w:right w:type="dxa" w:w="100"/>
            </w:tcMar>
          </w:tcPr>
          <w:p>
            <w:r>
              <w:rPr>
                <w:sz w:val="20"/>
                <w:szCs w:val="20"/>
              </w:rPr>
              <w:t xml:space="preserve">14</w:t>
            </w:r>
          </w:p>
        </w:tc>
        <w:tc>
          <w:tcPr>
            <w:tcW w:type="dxa" w:w="4435"/>
            <w:tcMar>
              <w:top w:type="dxa" w:w="80"/>
              <w:left w:type="dxa" w:w="100"/>
              <w:bottom w:type="dxa" w:w="80"/>
              <w:right w:type="dxa" w:w="100"/>
            </w:tcMar>
          </w:tcPr>
          <w:p>
            <w:r>
              <w:rPr>
                <w:sz w:val="20"/>
                <w:szCs w:val="20"/>
              </w:rPr>
              <w:t xml:space="preserve">Issuer panels may not inject correctly from the ETF module's click path</w:t>
            </w:r>
          </w:p>
        </w:tc>
        <w:tc>
          <w:tcPr>
            <w:tcW w:type="dxa" w:w="1411"/>
            <w:tcMar>
              <w:top w:type="dxa" w:w="80"/>
              <w:left w:type="dxa" w:w="100"/>
              <w:bottom w:type="dxa" w:w="80"/>
              <w:right w:type="dxa" w:w="100"/>
            </w:tcMar>
          </w:tcPr>
          <w:p>
            <w:r>
              <w:rPr>
                <w:sz w:val="20"/>
                <w:szCs w:val="20"/>
              </w:rPr>
              <w:t xml:space="preserve">Medium</w:t>
            </w:r>
          </w:p>
        </w:tc>
        <w:tc>
          <w:tcPr>
            <w:tcW w:type="dxa" w:w="3629"/>
            <w:tcMar>
              <w:top w:type="dxa" w:w="80"/>
              <w:left w:type="dxa" w:w="100"/>
              <w:bottom w:type="dxa" w:w="80"/>
              <w:right w:type="dxa" w:w="100"/>
            </w:tcMar>
          </w:tcPr>
          <w:p>
            <w:r>
              <w:rPr>
                <w:sz w:val="20"/>
                <w:szCs w:val="20"/>
              </w:rPr>
              <w:t xml:space="preserve">CLOSED — non-reproducible (July 23, 2026). The overlay's DOM write and ent_injectIssuerPanels() run synchronously in the same tick, so there's no race window; live-tested the real ETF-holdings click path with no missing content. No code change made. Distinct from item 21.1's real Galaxy/Search wiring gap found in Sprint 4.</w:t>
            </w:r>
          </w:p>
        </w:tc>
      </w:tr>
      <w:tr>
        <w:tc>
          <w:tcPr>
            <w:tcW w:type="dxa" w:w="605"/>
            <w:tcMar>
              <w:top w:type="dxa" w:w="80"/>
              <w:left w:type="dxa" w:w="100"/>
              <w:bottom w:type="dxa" w:w="80"/>
              <w:right w:type="dxa" w:w="100"/>
            </w:tcMar>
          </w:tcPr>
          <w:p>
            <w:r>
              <w:rPr>
                <w:sz w:val="20"/>
                <w:szCs w:val="20"/>
              </w:rPr>
              <w:t xml:space="preserve">15</w:t>
            </w:r>
          </w:p>
        </w:tc>
        <w:tc>
          <w:tcPr>
            <w:tcW w:type="dxa" w:w="4435"/>
            <w:tcMar>
              <w:top w:type="dxa" w:w="80"/>
              <w:left w:type="dxa" w:w="100"/>
              <w:bottom w:type="dxa" w:w="80"/>
              <w:right w:type="dxa" w:w="100"/>
            </w:tcMar>
          </w:tcPr>
          <w:p>
            <w:r>
              <w:rPr>
                <w:sz w:val="20"/>
                <w:szCs w:val="20"/>
              </w:rPr>
              <w:t xml:space="preserve">meridian-proxy carries 2 stale routes (/api/13f-search, /api/13f-filings) superseded by meridian-13f</w:t>
            </w:r>
          </w:p>
        </w:tc>
        <w:tc>
          <w:tcPr>
            <w:tcW w:type="dxa" w:w="1411"/>
            <w:tcMar>
              <w:top w:type="dxa" w:w="80"/>
              <w:left w:type="dxa" w:w="100"/>
              <w:bottom w:type="dxa" w:w="80"/>
              <w:right w:type="dxa" w:w="100"/>
            </w:tcMar>
          </w:tcPr>
          <w:p>
            <w:r>
              <w:rPr>
                <w:sz w:val="20"/>
                <w:szCs w:val="20"/>
              </w:rPr>
              <w:t xml:space="preserve">Low</w:t>
            </w:r>
          </w:p>
        </w:tc>
        <w:tc>
          <w:tcPr>
            <w:tcW w:type="dxa" w:w="3629"/>
            <w:tcMar>
              <w:top w:type="dxa" w:w="80"/>
              <w:left w:type="dxa" w:w="100"/>
              <w:bottom w:type="dxa" w:w="80"/>
              <w:right w:type="dxa" w:w="100"/>
            </w:tcMar>
          </w:tcPr>
          <w:p>
            <w:r>
              <w:rPr>
                <w:sz w:val="20"/>
                <w:szCs w:val="20"/>
              </w:rPr>
              <w:t xml:space="preserve">OPEN — removal queued, see Section 18.3</w:t>
            </w:r>
          </w:p>
        </w:tc>
      </w:tr>
      <w:tr>
        <w:tc>
          <w:tcPr>
            <w:tcW w:type="dxa" w:w="605"/>
            <w:tcMar>
              <w:top w:type="dxa" w:w="80"/>
              <w:left w:type="dxa" w:w="100"/>
              <w:bottom w:type="dxa" w:w="80"/>
              <w:right w:type="dxa" w:w="100"/>
            </w:tcMar>
          </w:tcPr>
          <w:p>
            <w:r>
              <w:rPr>
                <w:sz w:val="20"/>
                <w:szCs w:val="20"/>
              </w:rPr>
              <w:t xml:space="preserve">16</w:t>
            </w:r>
          </w:p>
        </w:tc>
        <w:tc>
          <w:tcPr>
            <w:tcW w:type="dxa" w:w="4435"/>
            <w:tcMar>
              <w:top w:type="dxa" w:w="80"/>
              <w:left w:type="dxa" w:w="100"/>
              <w:bottom w:type="dxa" w:w="80"/>
              <w:right w:type="dxa" w:w="100"/>
            </w:tcMar>
          </w:tcPr>
          <w:p>
            <w:r>
              <w:rPr>
                <w:sz w:val="20"/>
                <w:szCs w:val="20"/>
              </w:rPr>
              <w:t xml:space="preserve">meridian-holdings' ALTER TABLE fund_holdings_monthly ADD COLUMN snapshot_status statement fires repeatedly</w:t>
            </w:r>
          </w:p>
        </w:tc>
        <w:tc>
          <w:tcPr>
            <w:tcW w:type="dxa" w:w="1411"/>
            <w:tcMar>
              <w:top w:type="dxa" w:w="80"/>
              <w:left w:type="dxa" w:w="100"/>
              <w:bottom w:type="dxa" w:w="80"/>
              <w:right w:type="dxa" w:w="100"/>
            </w:tcMar>
          </w:tcPr>
          <w:p>
            <w:r>
              <w:rPr>
                <w:sz w:val="20"/>
                <w:szCs w:val="20"/>
              </w:rPr>
              <w:t xml:space="preserve">Low</w:t>
            </w:r>
          </w:p>
        </w:tc>
        <w:tc>
          <w:tcPr>
            <w:tcW w:type="dxa" w:w="3629"/>
            <w:tcMar>
              <w:top w:type="dxa" w:w="80"/>
              <w:left w:type="dxa" w:w="100"/>
              <w:bottom w:type="dxa" w:w="80"/>
              <w:right w:type="dxa" w:w="100"/>
            </w:tcMar>
          </w:tcPr>
          <w:p>
            <w:r>
              <w:rPr>
                <w:sz w:val="20"/>
                <w:szCs w:val="20"/>
              </w:rPr>
              <w:t xml:space="preserve">OPEN — flagged for post-release investigation; unrelated to the more serious write-guard incident found in the same Worker in Sprint 4 (Section 21.6)</w:t>
            </w:r>
          </w:p>
        </w:tc>
      </w:tr>
      <w:tr>
        <w:tc>
          <w:tcPr>
            <w:tcW w:type="dxa" w:w="605"/>
            <w:tcMar>
              <w:top w:type="dxa" w:w="80"/>
              <w:left w:type="dxa" w:w="100"/>
              <w:bottom w:type="dxa" w:w="80"/>
              <w:right w:type="dxa" w:w="100"/>
            </w:tcMar>
          </w:tcPr>
          <w:p>
            <w:r>
              <w:rPr>
                <w:sz w:val="20"/>
                <w:szCs w:val="20"/>
              </w:rPr>
              <w:t xml:space="preserve">17</w:t>
            </w:r>
          </w:p>
        </w:tc>
        <w:tc>
          <w:tcPr>
            <w:tcW w:type="dxa" w:w="4435"/>
            <w:tcMar>
              <w:top w:type="dxa" w:w="80"/>
              <w:left w:type="dxa" w:w="100"/>
              <w:bottom w:type="dxa" w:w="80"/>
              <w:right w:type="dxa" w:w="100"/>
            </w:tcMar>
          </w:tcPr>
          <w:p>
            <w:r>
              <w:rPr>
                <w:sz w:val="20"/>
                <w:szCs w:val="20"/>
              </w:rPr>
              <w:t xml:space="preserve">corporate-atlas-v4-deploy-clean was ahead of origin — Sprint 2/3/4 work not live on GitHub Pages</w:t>
            </w:r>
          </w:p>
        </w:tc>
        <w:tc>
          <w:tcPr>
            <w:tcW w:type="dxa" w:w="1411"/>
            <w:tcMar>
              <w:top w:type="dxa" w:w="80"/>
              <w:left w:type="dxa" w:w="100"/>
              <w:bottom w:type="dxa" w:w="80"/>
              <w:right w:type="dxa" w:w="100"/>
            </w:tcMar>
          </w:tcPr>
          <w:p>
            <w:r>
              <w:rPr>
                <w:sz w:val="20"/>
                <w:szCs w:val="20"/>
              </w:rPr>
              <w:t xml:space="preserve">High</w:t>
            </w:r>
          </w:p>
        </w:tc>
        <w:tc>
          <w:tcPr>
            <w:tcW w:type="dxa" w:w="3629"/>
            <w:tcMar>
              <w:top w:type="dxa" w:w="80"/>
              <w:left w:type="dxa" w:w="100"/>
              <w:bottom w:type="dxa" w:w="80"/>
              <w:right w:type="dxa" w:w="100"/>
            </w:tcMar>
          </w:tcPr>
          <w:p>
            <w:r>
              <w:rPr>
                <w:sz w:val="20"/>
                <w:szCs w:val="20"/>
              </w:rPr>
              <w:t xml:space="preserve">CLOSED (July 26, 2026). Sprint 4 commit (684b9e4) added and full branch pushed to origin. GitHub Pages and all Cloudflare Workers now aligned with source control. See Section 15.5.</w:t>
            </w:r>
          </w:p>
        </w:tc>
      </w:tr>
      <w:tr>
        <w:tc>
          <w:tcPr>
            <w:tcW w:type="dxa" w:w="605"/>
            <w:tcMar>
              <w:top w:type="dxa" w:w="80"/>
              <w:left w:type="dxa" w:w="100"/>
              <w:bottom w:type="dxa" w:w="80"/>
              <w:right w:type="dxa" w:w="100"/>
            </w:tcMar>
          </w:tcPr>
          <w:p>
            <w:r>
              <w:rPr>
                <w:sz w:val="20"/>
                <w:szCs w:val="20"/>
              </w:rPr>
              <w:t xml:space="preserve">18</w:t>
            </w:r>
          </w:p>
        </w:tc>
        <w:tc>
          <w:tcPr>
            <w:tcW w:type="dxa" w:w="4435"/>
            <w:tcMar>
              <w:top w:type="dxa" w:w="80"/>
              <w:left w:type="dxa" w:w="100"/>
              <w:bottom w:type="dxa" w:w="80"/>
              <w:right w:type="dxa" w:w="100"/>
            </w:tcMar>
          </w:tcPr>
          <w:p>
            <w:r>
              <w:rPr>
                <w:sz w:val="20"/>
                <w:szCs w:val="20"/>
              </w:rPr>
              <w:t xml:space="preserve">Sprint 4 items — see Section 21 for full detail and current status of each</w:t>
            </w:r>
          </w:p>
        </w:tc>
        <w:tc>
          <w:tcPr>
            <w:tcW w:type="dxa" w:w="1411"/>
            <w:tcMar>
              <w:top w:type="dxa" w:w="80"/>
              <w:left w:type="dxa" w:w="100"/>
              <w:bottom w:type="dxa" w:w="80"/>
              <w:right w:type="dxa" w:w="100"/>
            </w:tcMar>
          </w:tcPr>
          <w:p>
            <w:r>
              <w:rPr>
                <w:sz w:val="20"/>
                <w:szCs w:val="20"/>
              </w:rPr>
              <w:t xml:space="preserve">—</w:t>
            </w:r>
          </w:p>
        </w:tc>
        <w:tc>
          <w:tcPr>
            <w:tcW w:type="dxa" w:w="3629"/>
            <w:tcMar>
              <w:top w:type="dxa" w:w="80"/>
              <w:left w:type="dxa" w:w="100"/>
              <w:bottom w:type="dxa" w:w="80"/>
              <w:right w:type="dxa" w:w="100"/>
            </w:tcMar>
          </w:tcPr>
          <w:p>
            <w:r>
              <w:rPr>
                <w:sz w:val="20"/>
                <w:szCs w:val="20"/>
              </w:rPr>
              <w:t xml:space="preserve">See Section 21.8 for the consolidated Sprint 4 known-issues table (Danaher-style entity duplicates, financialfact_reported Phase 1 gap, remaining unmatched entity_master.cik rows, unpopulated primary_ticker).</w:t>
            </w:r>
          </w:p>
        </w:tc>
      </w:tr>
    </w:tbl>
    <w:p>
      <w:pPr>
        <w:pStyle w:val="Heading1"/>
        <w:spacing w:after="180" w:before="360"/>
      </w:pPr>
      <w:r>
        <w:rPr>
          <w:b/>
          <w:bCs/>
          <w:sz w:val="28"/>
          <w:szCs w:val="28"/>
        </w:rPr>
        <w:t xml:space="preserve">20. Related Documents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shd w:fill="D9E2F3" w:val="clear"/>
            <w:tcMar>
              <w:top w:type="dxa" w:w="80"/>
              <w:left w:type="dxa" w:w="100"/>
              <w:bottom w:type="dxa" w:w="80"/>
              <w:right w:type="dxa" w:w="100"/>
            </w:tcMar>
          </w:tcPr>
          <w:p>
            <w:r>
              <w:rPr>
                <w:b/>
                <w:bCs/>
                <w:sz w:val="20"/>
                <w:szCs w:val="20"/>
              </w:rPr>
              <w:t xml:space="preserve">Document</w:t>
            </w:r>
          </w:p>
        </w:tc>
        <w:tc>
          <w:tcPr>
            <w:tcW w:type="dxa" w:w="6552"/>
            <w:shd w:fill="D9E2F3" w:val="clear"/>
            <w:tcMar>
              <w:top w:type="dxa" w:w="80"/>
              <w:left w:type="dxa" w:w="100"/>
              <w:bottom w:type="dxa" w:w="80"/>
              <w:right w:type="dxa" w:w="100"/>
            </w:tcMar>
          </w:tcPr>
          <w:p>
            <w:r>
              <w:rPr>
                <w:b/>
                <w:bCs/>
                <w:sz w:val="20"/>
                <w:szCs w:val="20"/>
              </w:rPr>
              <w:t xml:space="preserve">Purpose</w:t>
            </w:r>
          </w:p>
        </w:tc>
      </w:tr>
      <w:tr>
        <w:tc>
          <w:tcPr>
            <w:tcW w:type="dxa" w:w="3528"/>
            <w:tcMar>
              <w:top w:type="dxa" w:w="80"/>
              <w:left w:type="dxa" w:w="100"/>
              <w:bottom w:type="dxa" w:w="80"/>
              <w:right w:type="dxa" w:w="100"/>
            </w:tcMar>
          </w:tcPr>
          <w:p>
            <w:r>
              <w:rPr>
                <w:sz w:val="20"/>
                <w:szCs w:val="20"/>
              </w:rPr>
              <w:t xml:space="preserve">Meridian_Atlas_Storage_Strategy_v1.docx</w:t>
            </w:r>
          </w:p>
        </w:tc>
        <w:tc>
          <w:tcPr>
            <w:tcW w:type="dxa" w:w="6552"/>
            <w:tcMar>
              <w:top w:type="dxa" w:w="80"/>
              <w:left w:type="dxa" w:w="100"/>
              <w:bottom w:type="dxa" w:w="80"/>
              <w:right w:type="dxa" w:w="100"/>
            </w:tcMar>
          </w:tcPr>
          <w:p>
            <w:r>
              <w:rPr>
                <w:sz w:val="20"/>
                <w:szCs w:val="20"/>
              </w:rPr>
              <w:t xml:space="preserve">D1 table classification rules, retention policy, growth estimation requirements — referenced throughout Section 3</w:t>
            </w:r>
          </w:p>
        </w:tc>
      </w:tr>
      <w:tr>
        <w:tc>
          <w:tcPr>
            <w:tcW w:type="dxa" w:w="3528"/>
            <w:tcMar>
              <w:top w:type="dxa" w:w="80"/>
              <w:left w:type="dxa" w:w="100"/>
              <w:bottom w:type="dxa" w:w="80"/>
              <w:right w:type="dxa" w:w="100"/>
            </w:tcMar>
          </w:tcPr>
          <w:p>
            <w:r>
              <w:rPr>
                <w:sz w:val="20"/>
                <w:szCs w:val="20"/>
              </w:rPr>
              <w:t xml:space="preserve">corporate_atlas_v4_spec.md</w:t>
            </w:r>
          </w:p>
        </w:tc>
        <w:tc>
          <w:tcPr>
            <w:tcW w:type="dxa" w:w="6552"/>
            <w:tcMar>
              <w:top w:type="dxa" w:w="80"/>
              <w:left w:type="dxa" w:w="100"/>
              <w:bottom w:type="dxa" w:w="80"/>
              <w:right w:type="dxa" w:w="100"/>
            </w:tcMar>
          </w:tcPr>
          <w:p>
            <w:r>
              <w:rPr>
                <w:sz w:val="20"/>
                <w:szCs w:val="20"/>
              </w:rPr>
              <w:t xml:space="preserve">Full original build specification for the Corporate Atlas entity layer — historical reference for design rationale</w:t>
            </w:r>
          </w:p>
        </w:tc>
      </w:tr>
      <w:tr>
        <w:tc>
          <w:tcPr>
            <w:tcW w:type="dxa" w:w="3528"/>
            <w:tcMar>
              <w:top w:type="dxa" w:w="80"/>
              <w:left w:type="dxa" w:w="100"/>
              <w:bottom w:type="dxa" w:w="80"/>
              <w:right w:type="dxa" w:w="100"/>
            </w:tcMar>
          </w:tcPr>
          <w:p>
            <w:r>
              <w:rPr>
                <w:sz w:val="20"/>
                <w:szCs w:val="20"/>
              </w:rPr>
              <w:t xml:space="preserve">13F_Persistence_Execution_Plan_v3.md</w:t>
            </w:r>
          </w:p>
        </w:tc>
        <w:tc>
          <w:tcPr>
            <w:tcW w:type="dxa" w:w="6552"/>
            <w:tcMar>
              <w:top w:type="dxa" w:w="80"/>
              <w:left w:type="dxa" w:w="100"/>
              <w:bottom w:type="dxa" w:w="80"/>
              <w:right w:type="dxa" w:w="100"/>
            </w:tcMar>
          </w:tcPr>
          <w:p>
            <w:r>
              <w:rPr>
                <w:sz w:val="20"/>
                <w:szCs w:val="20"/>
              </w:rPr>
              <w:t xml:space="preserve">Baselined, team-reviewed plan for the 13F data pipeline — EXECUTED in Sprint 2 (see Section 16); remains the historical reference for the original design rationale</w:t>
            </w:r>
          </w:p>
        </w:tc>
      </w:tr>
      <w:tr>
        <w:tc>
          <w:tcPr>
            <w:tcW w:type="dxa" w:w="3528"/>
            <w:tcMar>
              <w:top w:type="dxa" w:w="80"/>
              <w:left w:type="dxa" w:w="100"/>
              <w:bottom w:type="dxa" w:w="80"/>
              <w:right w:type="dxa" w:w="100"/>
            </w:tcMar>
          </w:tcPr>
          <w:p>
            <w:r>
              <w:rPr>
                <w:sz w:val="20"/>
                <w:szCs w:val="20"/>
              </w:rPr>
              <w:t xml:space="preserve">DEPLOYMENT_READINESS_2026-06-20.md</w:t>
            </w:r>
          </w:p>
        </w:tc>
        <w:tc>
          <w:tcPr>
            <w:tcW w:type="dxa" w:w="6552"/>
            <w:tcMar>
              <w:top w:type="dxa" w:w="80"/>
              <w:left w:type="dxa" w:w="100"/>
              <w:bottom w:type="dxa" w:w="80"/>
              <w:right w:type="dxa" w:w="100"/>
            </w:tcMar>
          </w:tcPr>
          <w:p>
            <w:r>
              <w:rPr>
                <w:sz w:val="20"/>
                <w:szCs w:val="20"/>
              </w:rPr>
              <w:t xml:space="preserve">Backend/operational readiness assessment — Worker inventory, sustainability gap analysis, pre-deployment checklist</w:t>
            </w:r>
          </w:p>
        </w:tc>
      </w:tr>
      <w:tr>
        <w:tc>
          <w:tcPr>
            <w:tcW w:type="dxa" w:w="3528"/>
            <w:tcMar>
              <w:top w:type="dxa" w:w="80"/>
              <w:left w:type="dxa" w:w="100"/>
              <w:bottom w:type="dxa" w:w="80"/>
              <w:right w:type="dxa" w:w="100"/>
            </w:tcMar>
          </w:tcPr>
          <w:p>
            <w:r>
              <w:rPr>
                <w:sz w:val="20"/>
                <w:szCs w:val="20"/>
              </w:rPr>
              <w:t xml:space="preserve">GitHub_Pages_Deployment_Record_2026-06-21.md</w:t>
            </w:r>
          </w:p>
        </w:tc>
        <w:tc>
          <w:tcPr>
            <w:tcW w:type="dxa" w:w="6552"/>
            <w:tcMar>
              <w:top w:type="dxa" w:w="80"/>
              <w:left w:type="dxa" w:w="100"/>
              <w:bottom w:type="dxa" w:w="80"/>
              <w:right w:type="dxa" w:w="100"/>
            </w:tcMar>
          </w:tcPr>
          <w:p>
            <w:r>
              <w:rPr>
                <w:sz w:val="20"/>
                <w:szCs w:val="20"/>
              </w:rPr>
              <w:t xml:space="preserve">Full step-by-step record of the June 21, 2026 frontend deployment mechanics — read before any future GitHub push, including the pending Sprint 2/3 push (Section 15.5)</w:t>
            </w:r>
          </w:p>
        </w:tc>
      </w:tr>
      <w:tr>
        <w:tc>
          <w:tcPr>
            <w:tcW w:type="dxa" w:w="3528"/>
            <w:tcMar>
              <w:top w:type="dxa" w:w="80"/>
              <w:left w:type="dxa" w:w="100"/>
              <w:bottom w:type="dxa" w:w="80"/>
              <w:right w:type="dxa" w:w="100"/>
            </w:tcMar>
          </w:tcPr>
          <w:p>
            <w:r>
              <w:rPr>
                <w:sz w:val="20"/>
                <w:szCs w:val="20"/>
              </w:rPr>
              <w:t xml:space="preserve">Meridian_Atlas_July_Sprint_Plan.md</w:t>
            </w:r>
          </w:p>
        </w:tc>
        <w:tc>
          <w:tcPr>
            <w:tcW w:type="dxa" w:w="6552"/>
            <w:tcMar>
              <w:top w:type="dxa" w:w="80"/>
              <w:left w:type="dxa" w:w="100"/>
              <w:bottom w:type="dxa" w:w="80"/>
              <w:right w:type="dxa" w:w="100"/>
            </w:tcMar>
          </w:tcPr>
          <w:p>
            <w:r>
              <w:rPr>
                <w:sz w:val="20"/>
                <w:szCs w:val="20"/>
              </w:rPr>
              <w:t xml:space="preserve">Full July Sprint 1-3 planning document — scope, gates, and schedule underlying Sections 16-18</w:t>
            </w:r>
          </w:p>
        </w:tc>
      </w:tr>
    </w:tbl>
    <w:p>
      <w:pPr>
        <w:pStyle w:val="Heading1"/>
        <w:spacing w:after="180" w:before="360"/>
      </w:pPr>
      <w:r>
        <w:rPr>
          <w:b/>
          <w:bCs/>
          <w:sz w:val="28"/>
          <w:szCs w:val="28"/>
        </w:rPr>
        <w:t xml:space="preserve">21. Sprint 4 Record — Verification, Data Integrity &amp; Operational Safety (July 24-26, 2026)</w:t>
      </w:r>
    </w:p>
    <w:p>
      <w:pPr>
        <w:spacing w:after="160" w:before="0"/>
      </w:pPr>
      <w:r>
        <w:rPr>
          <w:i/>
          <w:iCs/>
        </w:rPr>
        <w:t xml:space="preserve">Sprint 4 was driven by live user testing of the Sprint 2/3 modules rather than a pre-planned gate schedule. Each item below was found through direct browser testing or D1 data investigation, root-caused against actual source/data rather than assumed, and verified before being marked closed.</w:t>
      </w:r>
    </w:p>
    <w:p>
      <w:pPr>
        <w:pStyle w:val="Heading2"/>
        <w:spacing w:after="120" w:before="240"/>
      </w:pPr>
      <w:r>
        <w:rPr>
          <w:b/>
          <w:bCs/>
          <w:sz w:val="24"/>
          <w:szCs w:val="24"/>
        </w:rPr>
        <w:t xml:space="preserve">21.1 Issuer Panels — Galaxy/Search Entry Point Wiring Gap (FIXED &amp; VERIFIED)</w:t>
      </w:r>
    </w:p>
    <w:p>
      <w:pPr>
        <w:spacing w:after="160" w:before="0"/>
      </w:pPr>
      <w:r>
        <w:t xml:space="preserve">ent_injectIssuerPanels(entityId) — the function that loads 13F ownership, Financials, Events, and Filing Timeline panels onto the entity/Issuer detail page — was only ever called from showEntityOverlay (the ETF Holdings click-through path). showEntityDetail, the code path used when reaching an entity via Galaxy or Search, shared the same HTML template placeholder but never called the injection function, so those panels silently never populated for that entry point. This is distinct from Known Issue #14 (Section 19), which tested only the ETF-holdings path and was correctly closed as non-reproducible for that path.</w:t>
      </w:r>
    </w:p>
    <w:p>
      <w:pPr>
        <w:spacing w:after="160" w:before="0"/>
      </w:pPr>
      <w:r>
        <w:rPr>
          <w:b/>
          <w:bCs/>
        </w:rPr>
        <w:t xml:space="preserve">Fixed by adding the ent_injectIssuerPanels(entityId) call to showEntityDetail(), matching the existing call in showEntityOverlay. Verified: Bridgewater and TCI Fund both confirmed working end-to-end via Galaxy/Search entry after deployment.</w:t>
      </w:r>
    </w:p>
    <w:p>
      <w:pPr>
        <w:pStyle w:val="Heading2"/>
        <w:spacing w:after="120" w:before="240"/>
      </w:pPr>
      <w:r>
        <w:rPr>
          <w:b/>
          <w:bCs/>
          <w:sz w:val="24"/>
          <w:szCs w:val="24"/>
        </w:rPr>
        <w:t xml:space="preserve">21.2 13F Manager Search — Smart-Routing to the Manager Page (FIXED &amp; VERIFIED)</w:t>
      </w:r>
    </w:p>
    <w:p>
      <w:pPr>
        <w:spacing w:after="160" w:before="0"/>
      </w:pPr>
      <w:r>
        <w:t xml:space="preserve">13F manager search (ma-research.js) previously routed to a legacy raw-SEC-XML holdings modal with no cross-navigation into Corporate Atlas, bypassing the entity-linked Manager Page (ma-13f.js) built in Sprint 2 entirely. Fixed by routing res13FSearch() through mgr_openManagerPage() instead — the Manager Page's identity and filing history (managermaster/filing13f) cover the full 13F filer universe, so this works for any manager the search resolves.</w:t>
      </w:r>
    </w:p>
    <w:p>
      <w:pPr>
        <w:spacing w:after="160" w:before="0"/>
      </w:pPr>
      <w:r>
        <w:t xml:space="preserve">Because position-level holdings (holding13f_normalized) are scope-limited (Track A/B/C + always-include, Section 16.3) while filing metadata is not, the Manager Page now shows an honest fallback message with a direct SEC EDGAR link when a manager is in-scope for filing history but out of scope for stored holdings, instead of silently rendering an empty table.</w:t>
      </w:r>
    </w:p>
    <w:p>
      <w:pPr>
        <w:spacing w:after="160" w:before="0"/>
      </w:pPr>
      <w:r>
        <w:rPr>
          <w:b/>
          <w:bCs/>
        </w:rPr>
        <w:t xml:space="preserve">This surfaced a real scoping bug during testing: the has_holdings_data flag in worker-13f.js originally checked "any row ever exists for this cik" rather than the specific latest accession_number, so a manager could show has_holdings_data: true off an old quarter while the current quarter's holdings query returned nothing — an empty table with no explanation. Fixed to scope the check to the exact latest accession_number.</w:t>
      </w:r>
    </w:p>
    <w:p>
      <w:pPr>
        <w:spacing w:after="160" w:before="0"/>
      </w:pPr>
      <w:r>
        <w:rPr>
          <w:b/>
          <w:bCs/>
        </w:rPr>
        <w:t xml:space="preserve">Verified end-to-end on Bridgewater Associates (correctly shows the honest fallback for Q3/Q4 2025 before the backfill in 21.4, then real holdings after) and TCI Fund (clickable holdings, correct cross-navigation into Corporate Atlas).</w:t>
      </w:r>
    </w:p>
    <w:p>
      <w:pPr>
        <w:pStyle w:val="Heading2"/>
        <w:spacing w:after="120" w:before="240"/>
      </w:pPr>
      <w:r>
        <w:rPr>
          <w:b/>
          <w:bCs/>
          <w:sz w:val="24"/>
          <w:szCs w:val="24"/>
        </w:rPr>
        <w:t xml:space="preserve">21.3 Issuer CIK Resolution — Chicken-and-Egg Fix (FIXED &amp; DEPLOYED)</w:t>
      </w:r>
    </w:p>
    <w:p>
      <w:pPr>
        <w:spacing w:after="160" w:before="0"/>
      </w:pPr>
      <w:r>
        <w:t xml:space="preserve">resolveIssuerCik() in entities-api.js previously resolved an issuer's SEC CIK only indirectly, via issuereventstream or issuerperiodsummary — both of which are themselves scope-limited (2,884 and a Phase-1-derived subset of issuers respectively). issuerfilingmaster (3,182 issuers, the broadest Filings-domain table) has no entity_id column, so there was no direct path from an entity to its own filing history even when entity_master.cik was already populated for that entity.</w:t>
      </w:r>
    </w:p>
    <w:p>
      <w:pPr>
        <w:spacing w:after="160" w:before="0"/>
      </w:pPr>
      <w:r>
        <w:rPr>
          <w:b/>
          <w:bCs/>
        </w:rPr>
        <w:t xml:space="preserve">Fixed to prefer entity_master.cik directly, falling back to the original issuereventstream/issuerperiodsummary chain only when entity_master.cik is null. This is a real, generally-applicable fix — it was found and confirmed via Danaher Corporation, whose ownership/exposure data resolved fine but whose Filing Timeline reported no filings despite decades of real 10-K/10-Q/8-K history. Deployed to meridian-entities-api.</w:t>
      </w:r>
    </w:p>
    <w:p>
      <w:pPr>
        <w:spacing w:after="160" w:before="0"/>
      </w:pPr>
      <w:r>
        <w:rPr>
          <w:i/>
          <w:iCs/>
        </w:rPr>
        <w:t xml:space="preserve">Important scope note: this fix alone does not populate Financials or the Filing Timeline for every issuer — it only removes the resolution bug for issuers that already have a populated entity_master.cik. See Section 21.5 (CIK backfill) and Section 21.8 (financialfact_reported Phase 1 gap) for the two remaining, separate data-completeness limits this fix exposed.</w:t>
      </w:r>
    </w:p>
    <w:p>
      <w:pPr>
        <w:pStyle w:val="Heading2"/>
        <w:spacing w:after="120" w:before="240"/>
      </w:pPr>
      <w:r>
        <w:rPr>
          <w:b/>
          <w:bCs/>
          <w:sz w:val="24"/>
          <w:szCs w:val="24"/>
        </w:rPr>
        <w:t xml:space="preserve">21.4 Bridgewater Associates — 13F Data Gap (FULLY RESOLVED)</w:t>
      </w:r>
    </w:p>
    <w:p>
      <w:pPr>
        <w:spacing w:after="160" w:before="0"/>
      </w:pPr>
      <w:r>
        <w:t xml:space="preserve">User testing found Bridgewater Associates — a top-tier, well-known hedge fund — had zero position-level holdings for Q3 and Q4 2025 despite filing13f correctly showing all 4 quarters of filing metadata. Two independent, compounding causes were found:</w:t>
      </w:r>
    </w:p>
    <w:p>
      <w:pPr>
        <w:pStyle w:val="ListParagraph"/>
        <w:numPr>
          <w:ilvl w:val="0"/>
          <w:numId w:val="1"/>
        </w:numPr>
        <w:spacing w:after="80"/>
      </w:pPr>
      <w:r>
        <w:rPr>
          <w:sz w:val="21"/>
          <w:szCs w:val="21"/>
        </w:rPr>
        <w:t xml:space="preserve">Bridgewater's Q4 2025 13F-HR filing reports 1,040 distinct positions (TABLEENTRYTOTAL, confirmed against the local bulk SEC dataset) — this exceeds seed-holdings.js's TRACK_A_MAX_POSITIONS=1,000 ceiling, so Bridgewater never even qualified as a Track A candidate, independent of AUM ranking.</w:t>
      </w:r>
    </w:p>
    <w:p>
      <w:pPr>
        <w:pStyle w:val="ListParagraph"/>
        <w:numPr>
          <w:ilvl w:val="0"/>
          <w:numId w:val="1"/>
        </w:numPr>
        <w:spacing w:after="80"/>
      </w:pPr>
      <w:r>
        <w:rPr>
          <w:sz w:val="21"/>
          <w:szCs w:val="21"/>
        </w:rPr>
        <w:t xml:space="preserve">Bridgewater was not on the 6-fund always-include list (Pershing Square, Lone Pine, Baker Bros, Third Point, D1 Capital, Davidson Kempner) that bypasses Track A/B/C scoring entirely.</w:t>
      </w:r>
    </w:p>
    <w:p>
      <w:pPr>
        <w:spacing w:after="160" w:before="0"/>
      </w:pPr>
      <w:r>
        <w:rPr>
          <w:b/>
          <w:bCs/>
        </w:rPr>
        <w:t xml:space="preserve">Fixed by adding Bridgewater's CIK (0001350694) to ALWAYS_INCLUDE_CIKS in seed-holdings.js, guaranteeing inclusion regardless of position count or AUM rank going forward.</w:t>
      </w:r>
    </w:p>
    <w:p>
      <w:pPr>
        <w:spacing w:after="160" w:before="0"/>
      </w:pPr>
      <w:r>
        <w:rPr>
          <w:b/>
          <w:bCs/>
        </w:rPr>
        <w:t xml:space="preserve">Backfilled both missing quarters: Q3 2025 via the full official seed-holdings.js pipeline (re-run, no --rerun flag, so only Bridgewater's genuinely new rows were written — confirmed 1,014 new rows landed, cik total 2,263 = 664 Q1 + 585 Q2 + 1,014 Q3). Q4 2025 via a purpose-built surgical script (backfill-bridgewater-q4-surgical.js) that parses the local bulk INFOTABLE.tsv directly, touching only Bridgewater's own accession — chosen over a full seed-holdings.js --rerun after that option was found to cost ~125,000 rows_written just in its DELETE step alone (Section 21.6). Both quarters verified live in the app.</w:t>
      </w:r>
    </w:p>
    <w:p>
      <w:pPr>
        <w:pStyle w:val="Heading2"/>
        <w:spacing w:after="120" w:before="240"/>
      </w:pPr>
      <w:r>
        <w:rPr>
          <w:b/>
          <w:bCs/>
          <w:sz w:val="24"/>
          <w:szCs w:val="24"/>
        </w:rPr>
        <w:t xml:space="preserve">21.5 entity_master.cik Name-Matching Backfill (IMPROVED, PARTIAL)</w:t>
      </w:r>
    </w:p>
    <w:p>
      <w:pPr>
        <w:spacing w:after="160" w:before="0"/>
      </w:pPr>
      <w:r>
        <w:t xml:space="preserve">Of 10,705 operating entities, only 3,182 had a matched SEC CIK before Sprint 4 (seed-entity-cik.js, name-match against SEC's company_tickers_exchange.json). Root cause of the ~70% miss rate, confirmed against SEC's own data: the matching function normalized names inconsistently with how SEC and GLEIF actually format them. Danaher Corporation, GLEIF's legal name, never matched SEC's own registered name, "DANAHER CORP /DE/".</w:t>
      </w:r>
    </w:p>
    <w:p>
      <w:pPr>
        <w:spacing w:after="160" w:before="0"/>
      </w:pPr>
      <w:r>
        <w:t xml:space="preserve">Fixed normalizeName() in two passes, each validated against real production data before being trusted:</w:t>
      </w:r>
    </w:p>
    <w:p>
      <w:pPr>
        <w:pStyle w:val="ListParagraph"/>
        <w:numPr>
          <w:ilvl w:val="0"/>
          <w:numId w:val="1"/>
        </w:numPr>
        <w:spacing w:after="80"/>
      </w:pPr>
      <w:r>
        <w:rPr>
          <w:sz w:val="21"/>
          <w:szCs w:val="21"/>
        </w:rPr>
        <w:t xml:space="preserve">Pass 1: strip a trailing state-of-incorporation tag before punctuation-stripping (previously "/DE/" degraded into an uncomparable bare "de" token), and strip common corporate-form suffixes (CORP/CORPORATION, INC/INCORPORATED, CO/COMPANY, etc.) from both sides before comparing. Raised matches from 3,182 to 3,647 (+465).</w:t>
      </w:r>
    </w:p>
    <w:p>
      <w:pPr>
        <w:pStyle w:val="ListParagraph"/>
        <w:numPr>
          <w:ilvl w:val="0"/>
          <w:numId w:val="1"/>
        </w:numPr>
        <w:spacing w:after="80"/>
      </w:pPr>
      <w:r>
        <w:rPr>
          <w:sz w:val="21"/>
          <w:szCs w:val="21"/>
        </w:rPr>
        <w:t xml:space="preserve">Pass 2, after spot-checking 30 real unmatched rows turned up further distinct patterns: full jurisdiction names rather than 2-3 letter codes ("NU Holdings Ltd/Cayman Islands"), missing closing slash ("Global Partners Lp/ma"), "The" moved to the end instead of the front ("Trade Desk Inc/The"), un-decoded HTML entities ("Deere &amp;amp; Co"), and punctuation deleted instead of spaced ("Amazon.com Inc" needs to become "amazon com", not "amazoncom", to match SEC's own format). Raised matches further to 4,052 (+405 more).</w:t>
      </w:r>
    </w:p>
    <w:p>
      <w:pPr>
        <w:spacing w:after="160" w:before="0"/>
      </w:pPr>
      <w:r>
        <w:rPr>
          <w:b/>
          <w:bCs/>
        </w:rPr>
        <w:t xml:space="preserve">Safety measure added: any match whose normalized name reduces to 4 characters or fewer is now flagged in the script's own output for manual review before committing, since aggressive suffix-stripping raises real collision risk for short brand names. This caught one genuine false positive before it went live — "CHS/COMMUNITY HEALTH SYSTEMS, INC." was matching to CHS Inc's CIK (the agricultural cooperative) rather than Community Health Systems' own CIK, because the matching logic was treating the entire "/COMMUNITY HEALTH SYSTEMS, INC." suffix as a jurisdiction tag to discard. Fixed by capping how long a stripped slash-suffix is allowed to be (20 characters) — long slash-suffixes are an embedded alternate name, not a jurisdiction tag. Re-verified clean afterward.</w:t>
      </w:r>
    </w:p>
    <w:p>
      <w:pPr>
        <w:spacing w:after="160" w:before="0"/>
      </w:pPr>
      <w:r>
        <w:rPr>
          <w:i/>
          <w:iCs/>
        </w:rPr>
        <w:t xml:space="preserve">Remaining gap: approximately 5,653 operating entities are still unmatched. Spot-checking the unmatched pool suggests a meaningful share are legitimately out of SEC's scope (foreign private issuers, ETFs/funds misclassified as "operating" in the source taxonomy, futures contracts, private companies) rather than further fixable name-matching cases — but this has not been systematically broken down. primary_ticker, the intended fallback match path, is null for all currently-unmatched entities (0 of 7,523 populated at last check), making that fallback effectively dead code until it is backfilled separately.</w:t>
      </w:r>
    </w:p>
    <w:p>
      <w:pPr>
        <w:pStyle w:val="Heading2"/>
        <w:spacing w:after="120" w:before="240"/>
      </w:pPr>
      <w:r>
        <w:rPr>
          <w:b/>
          <w:bCs/>
          <w:sz w:val="24"/>
          <w:szCs w:val="24"/>
        </w:rPr>
        <w:t xml:space="preserve">21.6 meridian-holdings D1 Write-Budget Incident (ROOT-CAUSED &amp; FIXED)</w:t>
      </w:r>
    </w:p>
    <w:p>
      <w:pPr>
        <w:spacing w:after="160" w:before="0"/>
      </w:pPr>
      <w:r>
        <w:rPr>
          <w:b/>
          <w:bCs/>
        </w:rPr>
        <w:t xml:space="preserve">While checking D1 budget headroom for an unrelated Bridgewater backfill, the Cloudflare dashboard showed the account had already exceeded its 100,000 writes/day free-tier cap by roughly 2.5-3.2x on two separate mornings, before any Sprint 4 work had touched D1 at all. Investigation traced this to meridian-holdings, the ETF N-PORT holdings-ingestion Worker, which fires via cron every 2 hours (0 */2 * * * — not monthly as assumed) and has run on this schedule since a hold was lifted on June 14, 2026.</w:t>
      </w:r>
    </w:p>
    <w:p>
      <w:pPr>
        <w:spacing w:after="160" w:before="0"/>
      </w:pPr>
      <w:r>
        <w:t xml:space="preserve">Root cause: the pipeline's own self-imposed safety guard (DAILY_WRITE_LIMIT=80,000) counted logical rows inserted (chunk.length, e.g. 100 per db.batch() call), not Cloudflare's actual billed rows_written. Empirically confirmed the real multiplier on fund_holdings_monthly is approximately 9 rows_written per logical row (148,330 rows_written / 16,481 insert statements = 9.00, then independently reconfirmed at 30,800/3,422 = 9.00 in a later window), driven by index maintenance plus a separate, uncounted "mark complete" UPDATE statement that alone accounted for roughly 102,480 of one day's rows_written across just 30 executions. The guard's 80,000 threshold, measured in the wrong unit, would not actually trip until real usage reached roughly 7x the true daily cap — meaning it had likely been silently over-running the free-tier budget on every cron cycle since June 14, unnoticed because nothing had rejected the writes.</w:t>
      </w:r>
    </w:p>
    <w:p>
      <w:pPr>
        <w:spacing w:after="160" w:before="0"/>
      </w:pPr>
      <w:r>
        <w:rPr>
          <w:b/>
          <w:bCs/>
        </w:rPr>
        <w:t xml:space="preserve">Fixed by reading Cloudflare's own meta.rows_written from both the insert-batch response and the previously-uncounted mark-complete UPDATE, and feeding that real figure into the existing 80,000 threshold instead of the logical row count. Verified via manual /run invocations cross-checked directly against the Cloudflare dashboard's own query breakdown before trusting the fix, then the cron was re-enabled. A separate, real data-quality finding surfaced during this incident: a second Cloudflare account/Worker (the ETF Refresh pipeline generally) writes to the same shared meridian-etf database, so a runaway job in one module can exhaust budget for every other module sharing the database — this is a standing operational risk worth a dedicated cross-Worker write-budget dashboard, not fixed in this sprint.</w:t>
      </w:r>
    </w:p>
    <w:p>
      <w:pPr>
        <w:pStyle w:val="Heading2"/>
        <w:spacing w:after="120" w:before="240"/>
      </w:pPr>
      <w:r>
        <w:rPr>
          <w:b/>
          <w:bCs/>
          <w:sz w:val="24"/>
          <w:szCs w:val="24"/>
        </w:rPr>
        <w:t xml:space="preserve">21.7 entity_master Duplicate-Entity Discovery (FOUND, NOT YET RESOLVED)</w:t>
      </w:r>
    </w:p>
    <w:p>
      <w:pPr>
        <w:spacing w:after="160" w:before="0"/>
      </w:pPr>
      <w:r>
        <w:t xml:space="preserve">While verifying the Section 21.5 CIK backfill in the live app, Corporate Atlas search for "Danaher" returned two separate results: entity_id 1596 ("Danaher Corp", fully GLEIF-enriched — full address, registration status, LEI history) and entity_id 2326 ("Danaher Corporation", a bare-bones stub with legal_name, entity_status, and gleif_last_updated all null). Both rows share the identical LEI (S4BKK9OTCEWQ3YHPFM11), confirming these are the same real-world company represented twice, not two different entities.</w:t>
      </w:r>
    </w:p>
    <w:p>
      <w:pPr>
        <w:spacing w:after="160" w:before="0"/>
      </w:pPr>
      <w:r>
        <w:rPr>
          <w:i/>
          <w:iCs/>
        </w:rPr>
        <w:t xml:space="preserve">This predates Sprint 4 — the CIK backfill script only updates existing rows and cannot create new ones, so the duplicate was already present. The backfill correctly (and, in isolation, harmlessly) populated the CIK on both rows since both had cik IS NULL and both legitimately matched Danaher's real CIK; this incidentally made the duplication more visible in search, since the stub row now also carries a real, working CIK instead of obviously looking broken.</w:t>
      </w:r>
    </w:p>
    <w:p>
      <w:pPr>
        <w:spacing w:after="160" w:before="0"/>
      </w:pPr>
      <w:r>
        <w:rPr>
          <w:b/>
          <w:bCs/>
        </w:rPr>
        <w:t xml:space="preserve">Not yet resolved: the pipeline creating these stub rows (suspected to be 13F/instrument-entity linking, which may create a placeholder entity when an issuer name does not resolve back to an existing GLEIF row) has not been identified, and the scope of this issue across the other ~10,700 entities is unknown — no query has yet been run to count how many LEI values have more than one entity_id.</w:t>
      </w:r>
    </w:p>
    <w:p>
      <w:pPr>
        <w:pStyle w:val="Heading2"/>
        <w:spacing w:after="120" w:before="240"/>
      </w:pPr>
      <w:r>
        <w:rPr>
          <w:b/>
          <w:bCs/>
          <w:sz w:val="24"/>
          <w:szCs w:val="24"/>
        </w:rPr>
        <w:t xml:space="preserve">21.8 Sprint 4 Known Issues — Carried Into Next Sprint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4435"/>
        <w:gridCol w:w="1210"/>
        <w:gridCol w:w="3629"/>
      </w:tblGrid>
      <w:tr>
        <w:trPr>
          <w:tblHeader/>
        </w:trPr>
        <w:tc>
          <w:tcPr>
            <w:tcW w:type="dxa" w:w="806"/>
            <w:shd w:fill="D9E2F3" w:val="clear"/>
            <w:tcMar>
              <w:top w:type="dxa" w:w="80"/>
              <w:left w:type="dxa" w:w="100"/>
              <w:bottom w:type="dxa" w:w="80"/>
              <w:right w:type="dxa" w:w="100"/>
            </w:tcMar>
          </w:tcPr>
          <w:p>
            <w:r>
              <w:rPr>
                <w:b/>
                <w:bCs/>
                <w:sz w:val="20"/>
                <w:szCs w:val="20"/>
              </w:rPr>
              <w:t xml:space="preserve">#</w:t>
            </w:r>
          </w:p>
        </w:tc>
        <w:tc>
          <w:tcPr>
            <w:tcW w:type="dxa" w:w="4435"/>
            <w:shd w:fill="D9E2F3" w:val="clear"/>
            <w:tcMar>
              <w:top w:type="dxa" w:w="80"/>
              <w:left w:type="dxa" w:w="100"/>
              <w:bottom w:type="dxa" w:w="80"/>
              <w:right w:type="dxa" w:w="100"/>
            </w:tcMar>
          </w:tcPr>
          <w:p>
            <w:r>
              <w:rPr>
                <w:b/>
                <w:bCs/>
                <w:sz w:val="20"/>
                <w:szCs w:val="20"/>
              </w:rPr>
              <w:t xml:space="preserve">Item</w:t>
            </w:r>
          </w:p>
        </w:tc>
        <w:tc>
          <w:tcPr>
            <w:tcW w:type="dxa" w:w="1210"/>
            <w:shd w:fill="D9E2F3" w:val="clear"/>
            <w:tcMar>
              <w:top w:type="dxa" w:w="80"/>
              <w:left w:type="dxa" w:w="100"/>
              <w:bottom w:type="dxa" w:w="80"/>
              <w:right w:type="dxa" w:w="100"/>
            </w:tcMar>
          </w:tcPr>
          <w:p>
            <w:r>
              <w:rPr>
                <w:b/>
                <w:bCs/>
                <w:sz w:val="20"/>
                <w:szCs w:val="20"/>
              </w:rPr>
              <w:t xml:space="preserve">Priority</w:t>
            </w:r>
          </w:p>
        </w:tc>
        <w:tc>
          <w:tcPr>
            <w:tcW w:type="dxa" w:w="3629"/>
            <w:shd w:fill="D9E2F3" w:val="clear"/>
            <w:tcMar>
              <w:top w:type="dxa" w:w="80"/>
              <w:left w:type="dxa" w:w="100"/>
              <w:bottom w:type="dxa" w:w="80"/>
              <w:right w:type="dxa" w:w="100"/>
            </w:tcMar>
          </w:tcPr>
          <w:p>
            <w:r>
              <w:rPr>
                <w:b/>
                <w:bCs/>
                <w:sz w:val="20"/>
                <w:szCs w:val="20"/>
              </w:rPr>
              <w:t xml:space="preserve">State</w:t>
            </w:r>
          </w:p>
        </w:tc>
      </w:tr>
      <w:tr>
        <w:tc>
          <w:tcPr>
            <w:tcW w:type="dxa" w:w="806"/>
            <w:tcMar>
              <w:top w:type="dxa" w:w="80"/>
              <w:left w:type="dxa" w:w="100"/>
              <w:bottom w:type="dxa" w:w="80"/>
              <w:right w:type="dxa" w:w="100"/>
            </w:tcMar>
          </w:tcPr>
          <w:p>
            <w:r>
              <w:rPr>
                <w:sz w:val="20"/>
                <w:szCs w:val="20"/>
              </w:rPr>
              <w:t xml:space="preserve">21.1</w:t>
            </w:r>
          </w:p>
        </w:tc>
        <w:tc>
          <w:tcPr>
            <w:tcW w:type="dxa" w:w="4435"/>
            <w:tcMar>
              <w:top w:type="dxa" w:w="80"/>
              <w:left w:type="dxa" w:w="100"/>
              <w:bottom w:type="dxa" w:w="80"/>
              <w:right w:type="dxa" w:w="100"/>
            </w:tcMar>
          </w:tcPr>
          <w:p>
            <w:r>
              <w:rPr>
                <w:sz w:val="20"/>
                <w:szCs w:val="20"/>
              </w:rPr>
              <w:t xml:space="preserve">financialfact_reported "Phase 1" (500 issuers) was frozen before many entities had a resolved CIK — Danaher and others show real, correctly-resolved CIKs but still no Financials data</w:t>
            </w:r>
          </w:p>
        </w:tc>
        <w:tc>
          <w:tcPr>
            <w:tcW w:type="dxa" w:w="1210"/>
            <w:tcMar>
              <w:top w:type="dxa" w:w="80"/>
              <w:left w:type="dxa" w:w="100"/>
              <w:bottom w:type="dxa" w:w="80"/>
              <w:right w:type="dxa" w:w="100"/>
            </w:tcMar>
          </w:tcPr>
          <w:p>
            <w:r>
              <w:rPr>
                <w:sz w:val="20"/>
                <w:szCs w:val="20"/>
              </w:rPr>
              <w:t xml:space="preserve">Medium</w:t>
            </w:r>
          </w:p>
        </w:tc>
        <w:tc>
          <w:tcPr>
            <w:tcW w:type="dxa" w:w="3629"/>
            <w:tcMar>
              <w:top w:type="dxa" w:w="80"/>
              <w:left w:type="dxa" w:w="100"/>
              <w:bottom w:type="dxa" w:w="80"/>
              <w:right w:type="dxa" w:w="100"/>
            </w:tcMar>
          </w:tcPr>
          <w:p>
            <w:r>
              <w:rPr>
                <w:sz w:val="20"/>
                <w:szCs w:val="20"/>
              </w:rPr>
              <w:t xml:space="preserve">OPEN — fixable by re-running seed-financialfact.js --phase1 so it re-evaluates against the now-larger cik-populated pool, but this is its own real SEC-fetch + D1-write job (~500 SEC calls, meaningful write cost) and has not yet been run or budget-checked</w:t>
            </w:r>
          </w:p>
        </w:tc>
      </w:tr>
      <w:tr>
        <w:tc>
          <w:tcPr>
            <w:tcW w:type="dxa" w:w="806"/>
            <w:tcMar>
              <w:top w:type="dxa" w:w="80"/>
              <w:left w:type="dxa" w:w="100"/>
              <w:bottom w:type="dxa" w:w="80"/>
              <w:right w:type="dxa" w:w="100"/>
            </w:tcMar>
          </w:tcPr>
          <w:p>
            <w:r>
              <w:rPr>
                <w:sz w:val="20"/>
                <w:szCs w:val="20"/>
              </w:rPr>
              <w:t xml:space="preserve">21.2</w:t>
            </w:r>
          </w:p>
        </w:tc>
        <w:tc>
          <w:tcPr>
            <w:tcW w:type="dxa" w:w="4435"/>
            <w:tcMar>
              <w:top w:type="dxa" w:w="80"/>
              <w:left w:type="dxa" w:w="100"/>
              <w:bottom w:type="dxa" w:w="80"/>
              <w:right w:type="dxa" w:w="100"/>
            </w:tcMar>
          </w:tcPr>
          <w:p>
            <w:r>
              <w:rPr>
                <w:sz w:val="20"/>
                <w:szCs w:val="20"/>
              </w:rPr>
              <w:t xml:space="preserve">entity_master has confirmed duplicate rows sharing an LEI (Danaher: 1596 + 2326); full scope across the table unknown</w:t>
            </w:r>
          </w:p>
        </w:tc>
        <w:tc>
          <w:tcPr>
            <w:tcW w:type="dxa" w:w="1210"/>
            <w:tcMar>
              <w:top w:type="dxa" w:w="80"/>
              <w:left w:type="dxa" w:w="100"/>
              <w:bottom w:type="dxa" w:w="80"/>
              <w:right w:type="dxa" w:w="100"/>
            </w:tcMar>
          </w:tcPr>
          <w:p>
            <w:r>
              <w:rPr>
                <w:sz w:val="20"/>
                <w:szCs w:val="20"/>
              </w:rPr>
              <w:t xml:space="preserve">Medium</w:t>
            </w:r>
          </w:p>
        </w:tc>
        <w:tc>
          <w:tcPr>
            <w:tcW w:type="dxa" w:w="3629"/>
            <w:tcMar>
              <w:top w:type="dxa" w:w="80"/>
              <w:left w:type="dxa" w:w="100"/>
              <w:bottom w:type="dxa" w:w="80"/>
              <w:right w:type="dxa" w:w="100"/>
            </w:tcMar>
          </w:tcPr>
          <w:p>
            <w:r>
              <w:rPr>
                <w:sz w:val="20"/>
                <w:szCs w:val="20"/>
              </w:rPr>
              <w:t xml:space="preserve">OPEN — needs a table-wide LEI-collision count, then a decision on merge/redirect/delete strategy for stub rows, before it can be closed</w:t>
            </w:r>
          </w:p>
        </w:tc>
      </w:tr>
      <w:tr>
        <w:tc>
          <w:tcPr>
            <w:tcW w:type="dxa" w:w="806"/>
            <w:tcMar>
              <w:top w:type="dxa" w:w="80"/>
              <w:left w:type="dxa" w:w="100"/>
              <w:bottom w:type="dxa" w:w="80"/>
              <w:right w:type="dxa" w:w="100"/>
            </w:tcMar>
          </w:tcPr>
          <w:p>
            <w:r>
              <w:rPr>
                <w:sz w:val="20"/>
                <w:szCs w:val="20"/>
              </w:rPr>
              <w:t xml:space="preserve">21.3</w:t>
            </w:r>
          </w:p>
        </w:tc>
        <w:tc>
          <w:tcPr>
            <w:tcW w:type="dxa" w:w="4435"/>
            <w:tcMar>
              <w:top w:type="dxa" w:w="80"/>
              <w:left w:type="dxa" w:w="100"/>
              <w:bottom w:type="dxa" w:w="80"/>
              <w:right w:type="dxa" w:w="100"/>
            </w:tcMar>
          </w:tcPr>
          <w:p>
            <w:r>
              <w:rPr>
                <w:sz w:val="20"/>
                <w:szCs w:val="20"/>
              </w:rPr>
              <w:t xml:space="preserve">~5,653 operating entities remain unmatched on cik</w:t>
            </w:r>
          </w:p>
        </w:tc>
        <w:tc>
          <w:tcPr>
            <w:tcW w:type="dxa" w:w="1210"/>
            <w:tcMar>
              <w:top w:type="dxa" w:w="80"/>
              <w:left w:type="dxa" w:w="100"/>
              <w:bottom w:type="dxa" w:w="80"/>
              <w:right w:type="dxa" w:w="100"/>
            </w:tcMar>
          </w:tcPr>
          <w:p>
            <w:r>
              <w:rPr>
                <w:sz w:val="20"/>
                <w:szCs w:val="20"/>
              </w:rPr>
              <w:t xml:space="preserve">Low</w:t>
            </w:r>
          </w:p>
        </w:tc>
        <w:tc>
          <w:tcPr>
            <w:tcW w:type="dxa" w:w="3629"/>
            <w:tcMar>
              <w:top w:type="dxa" w:w="80"/>
              <w:left w:type="dxa" w:w="100"/>
              <w:bottom w:type="dxa" w:w="80"/>
              <w:right w:type="dxa" w:w="100"/>
            </w:tcMar>
          </w:tcPr>
          <w:p>
            <w:r>
              <w:rPr>
                <w:sz w:val="20"/>
                <w:szCs w:val="20"/>
              </w:rPr>
              <w:t xml:space="preserve">OPEN — not yet broken down between genuinely out-of-scope (foreign/private/fund entities) and further fixable name-matching cases</w:t>
            </w:r>
          </w:p>
        </w:tc>
      </w:tr>
      <w:tr>
        <w:tc>
          <w:tcPr>
            <w:tcW w:type="dxa" w:w="806"/>
            <w:tcMar>
              <w:top w:type="dxa" w:w="80"/>
              <w:left w:type="dxa" w:w="100"/>
              <w:bottom w:type="dxa" w:w="80"/>
              <w:right w:type="dxa" w:w="100"/>
            </w:tcMar>
          </w:tcPr>
          <w:p>
            <w:r>
              <w:rPr>
                <w:sz w:val="20"/>
                <w:szCs w:val="20"/>
              </w:rPr>
              <w:t xml:space="preserve">21.4</w:t>
            </w:r>
          </w:p>
        </w:tc>
        <w:tc>
          <w:tcPr>
            <w:tcW w:type="dxa" w:w="4435"/>
            <w:tcMar>
              <w:top w:type="dxa" w:w="80"/>
              <w:left w:type="dxa" w:w="100"/>
              <w:bottom w:type="dxa" w:w="80"/>
              <w:right w:type="dxa" w:w="100"/>
            </w:tcMar>
          </w:tcPr>
          <w:p>
            <w:r>
              <w:rPr>
                <w:sz w:val="20"/>
                <w:szCs w:val="20"/>
              </w:rPr>
              <w:t xml:space="preserve">primary_ticker is unpopulated (0 of 7,523 checked) for currently-unmatched entities</w:t>
            </w:r>
          </w:p>
        </w:tc>
        <w:tc>
          <w:tcPr>
            <w:tcW w:type="dxa" w:w="1210"/>
            <w:tcMar>
              <w:top w:type="dxa" w:w="80"/>
              <w:left w:type="dxa" w:w="100"/>
              <w:bottom w:type="dxa" w:w="80"/>
              <w:right w:type="dxa" w:w="100"/>
            </w:tcMar>
          </w:tcPr>
          <w:p>
            <w:r>
              <w:rPr>
                <w:sz w:val="20"/>
                <w:szCs w:val="20"/>
              </w:rPr>
              <w:t xml:space="preserve">Low</w:t>
            </w:r>
          </w:p>
        </w:tc>
        <w:tc>
          <w:tcPr>
            <w:tcW w:type="dxa" w:w="3629"/>
            <w:tcMar>
              <w:top w:type="dxa" w:w="80"/>
              <w:left w:type="dxa" w:w="100"/>
              <w:bottom w:type="dxa" w:w="80"/>
              <w:right w:type="dxa" w:w="100"/>
            </w:tcMar>
          </w:tcPr>
          <w:p>
            <w:r>
              <w:rPr>
                <w:sz w:val="20"/>
                <w:szCs w:val="20"/>
              </w:rPr>
              <w:t xml:space="preserve">OPEN — ticker-based fallback matching is effectively dead code until this column is backfilled separately</w:t>
            </w:r>
          </w:p>
        </w:tc>
      </w:tr>
      <w:tr>
        <w:tc>
          <w:tcPr>
            <w:tcW w:type="dxa" w:w="806"/>
            <w:tcMar>
              <w:top w:type="dxa" w:w="80"/>
              <w:left w:type="dxa" w:w="100"/>
              <w:bottom w:type="dxa" w:w="80"/>
              <w:right w:type="dxa" w:w="100"/>
            </w:tcMar>
          </w:tcPr>
          <w:p>
            <w:r>
              <w:rPr>
                <w:sz w:val="20"/>
                <w:szCs w:val="20"/>
              </w:rPr>
              <w:t xml:space="preserve">21.5</w:t>
            </w:r>
          </w:p>
        </w:tc>
        <w:tc>
          <w:tcPr>
            <w:tcW w:type="dxa" w:w="4435"/>
            <w:tcMar>
              <w:top w:type="dxa" w:w="80"/>
              <w:left w:type="dxa" w:w="100"/>
              <w:bottom w:type="dxa" w:w="80"/>
              <w:right w:type="dxa" w:w="100"/>
            </w:tcMar>
          </w:tcPr>
          <w:p>
            <w:r>
              <w:rPr>
                <w:sz w:val="20"/>
                <w:szCs w:val="20"/>
              </w:rPr>
              <w:t xml:space="preserve">No shared, cross-Worker D1 write-budget dashboard — a runaway job in one module (Section 21.6) can silently exhaust the shared meridian-etf database's daily quota for every other module</w:t>
            </w:r>
          </w:p>
        </w:tc>
        <w:tc>
          <w:tcPr>
            <w:tcW w:type="dxa" w:w="1210"/>
            <w:tcMar>
              <w:top w:type="dxa" w:w="80"/>
              <w:left w:type="dxa" w:w="100"/>
              <w:bottom w:type="dxa" w:w="80"/>
              <w:right w:type="dxa" w:w="100"/>
            </w:tcMar>
          </w:tcPr>
          <w:p>
            <w:r>
              <w:rPr>
                <w:sz w:val="20"/>
                <w:szCs w:val="20"/>
              </w:rPr>
              <w:t xml:space="preserve">Medium</w:t>
            </w:r>
          </w:p>
        </w:tc>
        <w:tc>
          <w:tcPr>
            <w:tcW w:type="dxa" w:w="3629"/>
            <w:tcMar>
              <w:top w:type="dxa" w:w="80"/>
              <w:left w:type="dxa" w:w="100"/>
              <w:bottom w:type="dxa" w:w="80"/>
              <w:right w:type="dxa" w:w="100"/>
            </w:tcMar>
          </w:tcPr>
          <w:p>
            <w:r>
              <w:rPr>
                <w:sz w:val="20"/>
                <w:szCs w:val="20"/>
              </w:rPr>
              <w:t xml:space="preserve">OPEN — operational hardening item, not addressed this sprint beyond fixing the one known offender</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2026-07-26T09:08:24.443Z</dcterms:created>
  <dcterms:modified xsi:type="dcterms:W3CDTF">2026-07-26T09:08:24.443Z</dcterms:modified>
</cp:coreProperties>
</file>

<file path=docProps/custom.xml><?xml version="1.0" encoding="utf-8"?>
<Properties xmlns="http://schemas.openxmlformats.org/officeDocument/2006/custom-properties" xmlns:vt="http://schemas.openxmlformats.org/officeDocument/2006/docPropsVTypes"/>
</file>