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Meridian Atlas — Current State v12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rPr>
        <w:t xml:space="preserve">MERIDIAN ATLAS</w:t>
      </w:r>
    </w:p>
    <w:p>
      <w:pPr>
        <w:pStyle w:val="BodyText"/>
      </w:pPr>
      <w:r>
        <w:t xml:space="preserve">Current State Document</w:t>
      </w:r>
    </w:p>
    <w:p>
      <w:pPr>
        <w:pStyle w:val="BodyText"/>
      </w:pPr>
      <w:r>
        <w:rPr>
          <w:b/>
        </w:rPr>
        <w:t xml:space="preserve">Current State Updated v12 — August 12, 2026</w:t>
      </w:r>
    </w:p>
    <w:p>
      <w:pPr>
        <w:pStyle w:val="BodyText"/>
      </w:pPr>
      <w:r>
        <w:rPr>
          <w:i/>
        </w:rPr>
        <w:t xml:space="preserve">NOTE: This document carries forward v11 (July 26, 2026) in full and adds the August Sprint record — a compressed, close-by-August-11 mini-sprint covering OpenFIGI-based instrument-entity matching, financialfact_reported backfill automation, a full operational-hardening pass (write-budget safety nets, a credential-leak incident and remediation, a git-history scrub, a live regression found and fixed), a live Cloudflare-metrics ops-dashboard addition, and two product-testing fixes (Linked Instruments UI, 13F manager search). All August-specific detail lives in the new Section 22; earlier sections are updated in place only where a reference table’s current-state facts actually changed (Worker cron schedules, D1 table counts, index inventory) — narrative history from June/July is left untouched. This version supersedes v11 entirely.</w:t>
      </w:r>
    </w:p>
    <w:p>
      <w:pPr>
        <w:pStyle w:val="Heading1"/>
      </w:pPr>
      <w:bookmarkStart w:id="20" w:name="deployment-stack"/>
      <w:r>
        <w:rPr>
          <w:b/>
        </w:rPr>
        <w:t xml:space="preserve">1. Deployment &amp; Stack</w:t>
      </w:r>
      <w:bookmarkEnd w:id="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Layer</w:t>
            </w:r>
          </w:p>
        </w:tc>
        <w:tc>
          <w:tcPr>
            <w:tcBorders>
              <w:bottom w:val="single"/>
            </w:tcBorders>
            <w:vAlign w:val="bottom"/>
          </w:tcPr>
          <w:p>
            <w:pPr>
              <w:pStyle w:val="Compact"/>
              <w:jc w:val="left"/>
            </w:pPr>
            <w:r>
              <w:rPr>
                <w:b/>
              </w:rPr>
              <w:t xml:space="preserve">Detail</w:t>
            </w:r>
          </w:p>
        </w:tc>
      </w:tr>
      <w:tr>
        <w:tc>
          <w:p>
            <w:pPr>
              <w:pStyle w:val="Compact"/>
              <w:jc w:val="left"/>
            </w:pPr>
            <w:r>
              <w:t xml:space="preserve">Frontend hosting</w:t>
            </w:r>
          </w:p>
        </w:tc>
        <w:tc>
          <w:p>
            <w:pPr>
              <w:pStyle w:val="Compact"/>
              <w:jc w:val="left"/>
            </w:pPr>
            <w:r>
              <w:t xml:space="preserve">GitHub Pages — https://navinmv81.github.io/meridian-atlas/, deploying from branch corporate-atlas-v4-deploy-clean, folder / (root). Live as of August 12, 2026 with all August Sprint frontend fixes (Linked Instruments redesign, 13F search messaging) — see Section 22.9 for the deployment-path clarification found this sprint.</w:t>
            </w:r>
          </w:p>
        </w:tc>
      </w:tr>
      <w:tr>
        <w:tc>
          <w:p>
            <w:pPr>
              <w:pStyle w:val="Compact"/>
              <w:jc w:val="left"/>
            </w:pPr>
            <w:r>
              <w:t xml:space="preserve">Backend hosting</w:t>
            </w:r>
          </w:p>
        </w:tc>
        <w:tc>
          <w:p>
            <w:pPr>
              <w:pStyle w:val="Compact"/>
              <w:jc w:val="left"/>
            </w:pPr>
            <w:r>
              <w:t xml:space="preserve">Cloudflare Workers</w:t>
            </w:r>
          </w:p>
        </w:tc>
      </w:tr>
      <w:tr>
        <w:tc>
          <w:p>
            <w:pPr>
              <w:pStyle w:val="Compact"/>
              <w:jc w:val="left"/>
            </w:pPr>
            <w:r>
              <w:t xml:space="preserve">Frontend</w:t>
            </w:r>
          </w:p>
        </w:tc>
        <w:tc>
          <w:p>
            <w:pPr>
              <w:pStyle w:val="Compact"/>
              <w:jc w:val="left"/>
            </w:pPr>
            <w:r>
              <w:t xml:space="preserve">Vanilla JavaScript — no frameworks, no bundler</w:t>
            </w:r>
          </w:p>
        </w:tc>
      </w:tr>
      <w:tr>
        <w:tc>
          <w:p>
            <w:pPr>
              <w:pStyle w:val="Compact"/>
              <w:jc w:val="left"/>
            </w:pPr>
            <w:r>
              <w:t xml:space="preserve">Architecture</w:t>
            </w:r>
          </w:p>
        </w:tc>
        <w:tc>
          <w:p>
            <w:pPr>
              <w:pStyle w:val="Compact"/>
              <w:jc w:val="left"/>
            </w:pPr>
            <w:r>
              <w:t xml:space="preserve">Modular — each domain is a separate JS file, no module imports between them</w:t>
            </w:r>
          </w:p>
        </w:tc>
      </w:tr>
      <w:tr>
        <w:tc>
          <w:p>
            <w:pPr>
              <w:pStyle w:val="Compact"/>
              <w:jc w:val="left"/>
            </w:pPr>
            <w:r>
              <w:t xml:space="preserve">Database</w:t>
            </w:r>
          </w:p>
        </w:tc>
        <w:tc>
          <w:p>
            <w:pPr>
              <w:pStyle w:val="Compact"/>
              <w:jc w:val="left"/>
            </w:pPr>
            <w:r>
              <w:t xml:space="preserve">Cloudflare D1 (SQLite) — single database meridian-etf, shared across the ETF, Entities, 13F, Filings, and (new, August) Ops domains.</w:t>
            </w:r>
            <w:r>
              <w:t xml:space="preserve"> </w:t>
            </w:r>
            <w:r>
              <w:rPr>
                <w:b/>
              </w:rPr>
              <w:t xml:space="preserve">28 tables total</w:t>
            </w:r>
            <w:r>
              <w:t xml:space="preserve"> </w:t>
            </w:r>
            <w:r>
              <w:t xml:space="preserve">(up from 27 in v11) — openfigicache added, see Section 3. Row counts for several tables changed materially this sprint (instrument_entity_map, financialfact_reported) — see Section 3 for detail and honesty notes on what was/wasn’t independently re-verified for this document.</w:t>
            </w:r>
          </w:p>
        </w:tc>
      </w:tr>
      <w:tr>
        <w:tc>
          <w:p>
            <w:pPr>
              <w:pStyle w:val="Compact"/>
              <w:jc w:val="left"/>
            </w:pPr>
            <w:r>
              <w:t xml:space="preserve">Version control</w:t>
            </w:r>
          </w:p>
        </w:tc>
        <w:tc>
          <w:p>
            <w:pPr>
              <w:pStyle w:val="Compact"/>
              <w:jc w:val="left"/>
            </w:pPr>
            <w:r>
              <w:t xml:space="preserve">GitHub — navinmv81/meridian-atlas. New branch august-sprint-clean-v11 created this sprint as a running backup; corporate-atlas-v4-deploy-clean remains the Pages-serving branch. A git-history credential scrub was performed this sprint (Section 22.5).</w:t>
            </w:r>
          </w:p>
        </w:tc>
      </w:tr>
      <w:tr>
        <w:tc>
          <w:p>
            <w:pPr>
              <w:pStyle w:val="Compact"/>
              <w:jc w:val="left"/>
            </w:pPr>
            <w:r>
              <w:t xml:space="preserve">Data sources</w:t>
            </w:r>
          </w:p>
        </w:tc>
        <w:tc>
          <w:p>
            <w:pPr>
              <w:pStyle w:val="Compact"/>
              <w:jc w:val="left"/>
            </w:pPr>
            <w:r>
              <w:t xml:space="preserve">SEC EDGAR (N-PORT, bulk filings, 13F filings, 10-K/10-Q/8-K, XBRL company facts), GLEIF (LEI + entity registry), OpenFIGI (NEW — August Sprint, instrument-to-issuer identifier matching), Yahoo Finance</w:t>
            </w:r>
          </w:p>
        </w:tc>
      </w:tr>
      <w:tr>
        <w:tc>
          <w:p>
            <w:pPr>
              <w:pStyle w:val="Compact"/>
              <w:jc w:val="left"/>
            </w:pPr>
            <w:r>
              <w:t xml:space="preserve">Background jobs</w:t>
            </w:r>
          </w:p>
        </w:tc>
        <w:tc>
          <w:p>
            <w:pPr>
              <w:pStyle w:val="Compact"/>
              <w:jc w:val="left"/>
            </w:pPr>
            <w:r>
              <w:rPr>
                <w:b/>
              </w:rPr>
              <w:t xml:space="preserve">11 Cloudflare Workers total</w:t>
            </w:r>
            <w:r>
              <w:t xml:space="preserve"> </w:t>
            </w:r>
            <w:r>
              <w:t xml:space="preserve">(up from 9 in v11) — meridian-entities-figi and meridian-ops added this sprint. meridian-entities-seed and meridian-entities-enrich, FROZEN in v11, were</w:t>
            </w:r>
            <w:r>
              <w:t xml:space="preserve"> </w:t>
            </w:r>
            <w:r>
              <w:rPr>
                <w:b/>
              </w:rPr>
              <w:t xml:space="preserve">re-enabled this sprint</w:t>
            </w:r>
            <w:r>
              <w:t xml:space="preserve"> </w:t>
            </w:r>
            <w:r>
              <w:t xml:space="preserve">at reduced cadences (weekly and 2x/day respectively — see Section 2.2). meridian-holdings’ cadence, changed to weekly in an emergency mitigation before v11, was</w:t>
            </w:r>
            <w:r>
              <w:t xml:space="preserve"> </w:t>
            </w:r>
            <w:r>
              <w:rPr>
                <w:b/>
              </w:rPr>
              <w:t xml:space="preserve">made permanent</w:t>
            </w:r>
            <w:r>
              <w:t xml:space="preserve"> </w:t>
            </w:r>
            <w:r>
              <w:t xml:space="preserve">this sprint. meridian-entities-delta remains frozen, deferred to September. See Section 2.2.</w:t>
            </w:r>
          </w:p>
        </w:tc>
      </w:tr>
      <w:tr>
        <w:tc>
          <w:p>
            <w:pPr>
              <w:pStyle w:val="Compact"/>
              <w:jc w:val="left"/>
            </w:pPr>
            <w:r>
              <w:t xml:space="preserve">Cost constraint</w:t>
            </w:r>
          </w:p>
        </w:tc>
        <w:tc>
          <w:p>
            <w:pPr>
              <w:pStyle w:val="Compact"/>
              <w:jc w:val="left"/>
            </w:pPr>
            <w:r>
              <w:t xml:space="preserve">Free tier only — D1 limits: 100k writes/day, 5M reads/day, 5GB storage. August Sprint reconfirmed these as soft caps (over-cap writes accepted without data loss) but also surfaced a real near-miss: a single mis-scheduled entities-seed invocation on 2 August consumed ~97,594 of that day’s 100,000-write cap in one run. Every D1-writing pipeline now has both a kill switch (checkHold()/hold_all_jobs) and a mid-loop write checkpoint as a result — see Section 22.5.</w:t>
            </w:r>
          </w:p>
        </w:tc>
      </w:tr>
    </w:tbl>
    <w:p>
      <w:pPr>
        <w:pStyle w:val="BodyText"/>
      </w:pPr>
      <w:r>
        <w:rPr>
          <w:i/>
        </w:rPr>
        <w:t xml:space="preserve">Critical distinction (unchanged since v9): the frontend (static files) and backend (Workers + D1) are deployed through completely separate mechanisms with no automatic link between them. Refined further this sprint: the frontend’s own git source of truth lives in a different local checkout (June Refresh/) than the one used for in-session editing during August (Meridian Atlas Clean (v11)) — see Section 22.9.</w:t>
      </w:r>
    </w:p>
    <w:p>
      <w:pPr>
        <w:pStyle w:val="Heading1"/>
      </w:pPr>
      <w:bookmarkStart w:id="21" w:name="file-structure"/>
      <w:r>
        <w:rPr>
          <w:b/>
        </w:rPr>
        <w:t xml:space="preserve">2. File Structure</w:t>
      </w:r>
      <w:bookmarkEnd w:id="21"/>
    </w:p>
    <w:p>
      <w:pPr>
        <w:pStyle w:val="Heading2"/>
      </w:pPr>
      <w:bookmarkStart w:id="22" w:name="frontend-files"/>
      <w:r>
        <w:rPr>
          <w:b/>
        </w:rPr>
        <w:t xml:space="preserve">2.1 Frontend Files</w:t>
      </w:r>
      <w:bookmarkEnd w:id="22"/>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File</w:t>
            </w:r>
          </w:p>
        </w:tc>
        <w:tc>
          <w:tcPr>
            <w:tcBorders>
              <w:bottom w:val="single"/>
            </w:tcBorders>
            <w:vAlign w:val="bottom"/>
          </w:tcPr>
          <w:p>
            <w:pPr>
              <w:pStyle w:val="Compact"/>
              <w:jc w:val="left"/>
            </w:pPr>
            <w:r>
              <w:rPr>
                <w:b/>
              </w:rPr>
              <w:t xml:space="preserve">Responsibility</w:t>
            </w:r>
          </w:p>
        </w:tc>
        <w:tc>
          <w:tcPr>
            <w:tcBorders>
              <w:bottom w:val="single"/>
            </w:tcBorders>
            <w:vAlign w:val="bottom"/>
          </w:tcPr>
          <w:p>
            <w:pPr>
              <w:pStyle w:val="Compact"/>
              <w:jc w:val="left"/>
            </w:pPr>
            <w:r>
              <w:rPr>
                <w:b/>
              </w:rPr>
              <w:t xml:space="preserve">Status</w:t>
            </w:r>
          </w:p>
        </w:tc>
        <w:tc>
          <w:tcPr>
            <w:tcBorders>
              <w:bottom w:val="single"/>
            </w:tcBorders>
            <w:vAlign w:val="bottom"/>
          </w:tcPr>
          <w:p>
            <w:pPr>
              <w:pStyle w:val="Compact"/>
              <w:jc w:val="left"/>
            </w:pPr>
            <w:r>
              <w:rPr>
                <w:b/>
              </w:rPr>
              <w:t xml:space="preserve">Latest Notes</w:t>
            </w:r>
          </w:p>
        </w:tc>
      </w:tr>
    </w:tbl>
    <w:p>
      <w:pPr>
        <w:pStyle w:val="BodyText"/>
      </w:pPr>
      <w:r>
        <w:t xml:space="preserve">| index.html | Main entry point, unified navigation, OPS nav button | UPDATED — August Sprint | Two routes it calls directly (?url= for news/charts/fundamentals via pfetch(), ?secfilings= for the Filings research tab) broke when a 5 August stale-route removal missed this file’s inline</w:t>
      </w:r>
    </w:p>
    <w:p>
      <w:pPr>
        <w:pStyle w:val="BodyText"/>
      </w:pPr>
      <w:r>
        <w:t xml:space="preserve">block. Both fixed 10 August — see Section 22.5. |</w:t>
      </w:r>
      <w:r>
        <w:t xml:space="preserve"> </w:t>
      </w:r>
      <w:r>
        <w:t xml:space="preserve">| ma-etf.js | ETF analytics — launcher, detail view, Overlap/Compare/Exposure/Universe | STABLE | Unchanged this sprint. |</w:t>
      </w:r>
      <w:r>
        <w:t xml:space="preserve"> </w:t>
      </w:r>
      <w:r>
        <w:t xml:space="preserve">| ma-entities.js | Corporate Atlas — entity galaxy, search, detail pages, Fund Manager display, Issuer page | UPDATED — August Sprint | New</w:t>
      </w:r>
      <w:r>
        <w:t xml:space="preserve"> </w:t>
      </w:r>
      <w:r>
        <w:t xml:space="preserve">“</w:t>
      </w:r>
      <w:r>
        <w:t xml:space="preserve">Linked Instruments</w:t>
      </w:r>
      <w:r>
        <w:t xml:space="preserve">”</w:t>
      </w:r>
      <w:r>
        <w:t xml:space="preserve"> </w:t>
      </w:r>
      <w:r>
        <w:t xml:space="preserve">section added to the entity detail page (10 August), then redesigned (12 August) after Founder testing found the first version showed only repeated company names with a source badge — now shows the real ISIN/CUSIP value and asset type per row, plus a</w:t>
      </w:r>
      <w:r>
        <w:t xml:space="preserve"> </w:t>
      </w:r>
      <w:r>
        <w:t xml:space="preserve">“</w:t>
      </w:r>
      <w:r>
        <w:t xml:space="preserve">show all</w:t>
      </w:r>
      <w:r>
        <w:t xml:space="preserve">”</w:t>
      </w:r>
      <w:r>
        <w:t xml:space="preserve"> </w:t>
      </w:r>
      <w:r>
        <w:t xml:space="preserve">expand pattern. New helper functions: _instrumentSourceBadge, _instrumentRowHtml, _loadLinkedInstruments, _showAllLinkedInstruments. See Section 22.1 and 22.6. |</w:t>
      </w:r>
      <w:r>
        <w:t xml:space="preserve"> </w:t>
      </w:r>
      <w:r>
        <w:t xml:space="preserve">| ma-13f.js | SEC 13F filing search/display UI, Manager pages | UPDATED — August Sprint | mgr_loadManager’s empty-state messaging now distinguishes a genuine</w:t>
      </w:r>
      <w:r>
        <w:t xml:space="preserve"> </w:t>
      </w:r>
      <w:r>
        <w:t xml:space="preserve">“</w:t>
      </w:r>
      <w:r>
        <w:t xml:space="preserve">manager on record, zero filings</w:t>
      </w:r>
      <w:r>
        <w:t xml:space="preserve">”</w:t>
      </w:r>
      <w:r>
        <w:t xml:space="preserve"> </w:t>
      </w:r>
      <w:r>
        <w:t xml:space="preserve">case from a</w:t>
      </w:r>
      <w:r>
        <w:t xml:space="preserve"> </w:t>
      </w:r>
      <w:r>
        <w:t xml:space="preserve">“</w:t>
      </w:r>
      <w:r>
        <w:t xml:space="preserve">CIK not in our registry — likely a search mismatch</w:t>
      </w:r>
      <w:r>
        <w:t xml:space="preserve">”</w:t>
      </w:r>
      <w:r>
        <w:t xml:space="preserve"> </w:t>
      </w:r>
      <w:r>
        <w:t xml:space="preserve">case, with a direct SEC EDGAR lookup link for the latter. New helper: mgr_secEdgarCompanySearchUrl. See Section 22.6. |</w:t>
      </w:r>
      <w:r>
        <w:t xml:space="preserve"> </w:t>
      </w:r>
      <w:r>
        <w:t xml:space="preserve">| ma-research.js | Aggregated research reports and analytical content | STABLE | res13FSearch() unchanged in shape this sprint — its comment claiming the D1 manager tables</w:t>
      </w:r>
      <w:r>
        <w:t xml:space="preserve"> </w:t>
      </w:r>
      <w:r>
        <w:t xml:space="preserve">“</w:t>
      </w:r>
      <w:r>
        <w:t xml:space="preserve">cover the full 13F filer universe</w:t>
      </w:r>
      <w:r>
        <w:t xml:space="preserve">”</w:t>
      </w:r>
      <w:r>
        <w:t xml:space="preserve"> </w:t>
      </w:r>
      <w:r>
        <w:t xml:space="preserve">was the working assumption that the August 12 13F search fix (Section 22.6) was built against; no code change was needed here. |</w:t>
      </w:r>
      <w:r>
        <w:t xml:space="preserve"> </w:t>
      </w:r>
      <w:r>
        <w:t xml:space="preserve">| ma-ops.js | Operational visibility dashboard | UPDATED — 2 August | New Live Cloudflare Metrics section added to the Drift &amp; Budget tab (ops_renderLiveCfMetrics), sourced from the new meridian-ops Worker. See Section 22.7. |</w:t>
      </w:r>
      <w:r>
        <w:t xml:space="preserve"> </w:t>
      </w:r>
      <w:r>
        <w:t xml:space="preserve">| ma-modal.js | Pop-up layer for alerts, inputs, confirmations | STABLE | Unchanged this sprint. |</w:t>
      </w:r>
      <w:r>
        <w:t xml:space="preserve"> </w:t>
      </w:r>
      <w:r>
        <w:t xml:space="preserve">| ma-dcf.js | Discounted cash flow valuation tools | BETA | Unchanged this sprint. |</w:t>
      </w:r>
      <w:r>
        <w:t xml:space="preserve"> </w:t>
      </w:r>
      <w:r>
        <w:t xml:space="preserve">| ma-market.js | Real-time price tracking and market monitoring | STABLE | loadNews()’s pfetch() calls were broken by the same 5 August regression as index.html (both routed through the same ?url= proxy) — fixed 10 August. |</w:t>
      </w:r>
      <w:r>
        <w:t xml:space="preserve"> </w:t>
      </w:r>
      <w:r>
        <w:t xml:space="preserve">| ma-data.js | Market data feed aggregation and management | STABLE | fetchSym()’s pfetch() calls affected by the same 5 August regression — fixed 10 August. |</w:t>
      </w:r>
      <w:r>
        <w:t xml:space="preserve"> </w:t>
      </w:r>
      <w:r>
        <w:t xml:space="preserve">| ma-search.js | Cross-module search layer | STABLE | Unchanged this sprint. |</w:t>
      </w:r>
    </w:p>
    <w:p>
      <w:pPr>
        <w:pStyle w:val="BodyText"/>
      </w:pPr>
      <w:r>
        <w:rPr>
          <w:i/>
        </w:rPr>
        <w:t xml:space="preserve">Canonical location note (refined this sprint): the 11 frontend files’ git source of truth is June Refresh/ (unchanged since v11) — but all August Sprint editing happened in a separate local folder, Meridian Atlas Clean (v11), that is not automatically synced to it. See Section 22.9 for the full finding and the manual copy-then-push process now required to publish a frontend change.</w:t>
      </w:r>
    </w:p>
    <w:p>
      <w:pPr>
        <w:pStyle w:val="Heading2"/>
      </w:pPr>
      <w:bookmarkStart w:id="23" w:name="cloudflare-workers"/>
      <w:r>
        <w:rPr>
          <w:b/>
        </w:rPr>
        <w:t xml:space="preserve">2.2 Cloudflare Workers</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Worker</w:t>
            </w:r>
          </w:p>
        </w:tc>
        <w:tc>
          <w:tcPr>
            <w:tcBorders>
              <w:bottom w:val="single"/>
            </w:tcBorders>
            <w:vAlign w:val="bottom"/>
          </w:tcPr>
          <w:p>
            <w:pPr>
              <w:pStyle w:val="Compact"/>
              <w:jc w:val="left"/>
            </w:pPr>
            <w:r>
              <w:rPr>
                <w:b/>
              </w:rPr>
              <w:t xml:space="preserve">File</w:t>
            </w:r>
          </w:p>
        </w:tc>
        <w:tc>
          <w:tcPr>
            <w:tcBorders>
              <w:bottom w:val="single"/>
            </w:tcBorders>
            <w:vAlign w:val="bottom"/>
          </w:tcPr>
          <w:p>
            <w:pPr>
              <w:pStyle w:val="Compact"/>
              <w:jc w:val="left"/>
            </w:pPr>
            <w:r>
              <w:rPr>
                <w:b/>
              </w:rPr>
              <w:t xml:space="preserve">Cron</w:t>
            </w:r>
          </w:p>
        </w:tc>
        <w:tc>
          <w:tcPr>
            <w:tcBorders>
              <w:bottom w:val="single"/>
            </w:tcBorders>
            <w:vAlign w:val="bottom"/>
          </w:tcPr>
          <w:p>
            <w:pPr>
              <w:pStyle w:val="Compact"/>
              <w:jc w:val="left"/>
            </w:pPr>
            <w:r>
              <w:rPr>
                <w:b/>
              </w:rPr>
              <w:t xml:space="preserve">Purpose</w:t>
            </w:r>
          </w:p>
        </w:tc>
      </w:tr>
      <w:tr>
        <w:tc>
          <w:p>
            <w:pPr>
              <w:pStyle w:val="Compact"/>
              <w:jc w:val="left"/>
            </w:pPr>
            <w:r>
              <w:t xml:space="preserve">meridian-proxy</w:t>
            </w:r>
          </w:p>
        </w:tc>
        <w:tc>
          <w:p>
            <w:pPr>
              <w:pStyle w:val="Compact"/>
              <w:jc w:val="left"/>
            </w:pPr>
            <w:r>
              <w:t xml:space="preserve">ETF Refresh/src/index.js</w:t>
            </w:r>
          </w:p>
        </w:tc>
        <w:tc>
          <w:p>
            <w:pPr>
              <w:pStyle w:val="Compact"/>
              <w:jc w:val="left"/>
            </w:pPr>
            <w:r>
              <w:t xml:space="preserve">On request</w:t>
            </w:r>
          </w:p>
        </w:tc>
        <w:tc>
          <w:p>
            <w:pPr>
              <w:pStyle w:val="Compact"/>
              <w:jc w:val="left"/>
            </w:pPr>
            <w:r>
              <w:t xml:space="preserve">Main API gateway. The 2 stale 13F routes noted in v11 (Section 19, item 15) were removed 5 August along with 2 others — this removal caused a real 5-day live regression (Section 22.5) found and fixed 10 August. A new narrower, hostname-allowlisted ?url= route now covers Yahoo news/chart/fundamentals proxying; SEC filings lookups were properly migrated to meridian-filings rather than restored here.</w:t>
            </w:r>
          </w:p>
        </w:tc>
      </w:tr>
      <w:tr>
        <w:tc>
          <w:p>
            <w:pPr>
              <w:pStyle w:val="Compact"/>
              <w:jc w:val="left"/>
            </w:pPr>
            <w:r>
              <w:t xml:space="preserve">meridian-bootstrap</w:t>
            </w:r>
          </w:p>
        </w:tc>
        <w:tc>
          <w:p>
            <w:pPr>
              <w:pStyle w:val="Compact"/>
              <w:jc w:val="left"/>
            </w:pPr>
            <w:r>
              <w:t xml:space="preserve">ETF Refresh/src/bootstrap.js</w:t>
            </w:r>
          </w:p>
        </w:tc>
        <w:tc>
          <w:p>
            <w:pPr>
              <w:pStyle w:val="Compact"/>
              <w:jc w:val="left"/>
            </w:pPr>
            <w:r>
              <w:t xml:space="preserve">Every 4 hours (0</w:t>
            </w:r>
            <w:r>
              <w:t xml:space="preserve"> </w:t>
            </w:r>
            <w:r>
              <w:rPr>
                <w:i/>
              </w:rPr>
              <w:t xml:space="preserve">/4</w:t>
            </w:r>
            <w:r>
              <w:rPr>
                <w:i/>
              </w:rPr>
              <w:t xml:space="preserve"> </w:t>
            </w:r>
            <w:r>
              <w:t xml:space="preserve"> </w:t>
            </w:r>
            <w:r>
              <w:t xml:space="preserve">* *)</w:t>
            </w:r>
          </w:p>
        </w:tc>
        <w:tc>
          <w:p>
            <w:pPr>
              <w:pStyle w:val="Compact"/>
              <w:jc w:val="left"/>
            </w:pPr>
            <w:r>
              <w:t xml:space="preserve">Unchanged this sprint.</w:t>
            </w:r>
          </w:p>
        </w:tc>
      </w:tr>
      <w:tr>
        <w:tc>
          <w:p>
            <w:pPr>
              <w:pStyle w:val="Compact"/>
              <w:jc w:val="left"/>
            </w:pPr>
            <w:r>
              <w:t xml:space="preserve">meridian-holdings</w:t>
            </w:r>
          </w:p>
        </w:tc>
        <w:tc>
          <w:p>
            <w:pPr>
              <w:pStyle w:val="Compact"/>
              <w:jc w:val="left"/>
            </w:pPr>
            <w:r>
              <w:t xml:space="preserve">ETF Refresh/src/holdings-pipeline.js</w:t>
            </w:r>
          </w:p>
        </w:tc>
        <w:tc>
          <w:p>
            <w:pPr>
              <w:pStyle w:val="Compact"/>
              <w:jc w:val="left"/>
            </w:pPr>
            <w:r>
              <w:rPr>
                <w:b/>
              </w:rPr>
              <w:t xml:space="preserve">Weekly, Sunday 04:00 UTC (0 4 * * 0) — made permanent 6 August</w:t>
            </w:r>
            <w:r>
              <w:t xml:space="preserve"> </w:t>
            </w:r>
            <w:r>
              <w:t xml:space="preserve">(was an emergency mitigation as of v11, previously every 2 hours)</w:t>
            </w:r>
          </w:p>
        </w:tc>
        <w:tc>
          <w:p>
            <w:pPr>
              <w:pStyle w:val="Compact"/>
              <w:jc w:val="left"/>
            </w:pPr>
            <w:r>
              <w:t xml:space="preserve">Two fixes this sprint: checkHold() kill switch added (3 August — this was the one D1-writing pipeline that had none), and a redundant unconditional ALTER TABLE fund_holdings_monthly ADD COLUMN snapshot_status statement (flagged as an open issue in v11, Section 19 item 16) root-caused and removed (8 August) — the column was already tracked via a proper one-time migration, so this had been costing one wasted write-attempt per invocation since the column was first added.</w:t>
            </w:r>
          </w:p>
        </w:tc>
      </w:tr>
      <w:tr>
        <w:tc>
          <w:p>
            <w:pPr>
              <w:pStyle w:val="Compact"/>
              <w:jc w:val="left"/>
            </w:pPr>
            <w:r>
              <w:t xml:space="preserve">meridian-13f</w:t>
            </w:r>
          </w:p>
        </w:tc>
        <w:tc>
          <w:p>
            <w:pPr>
              <w:pStyle w:val="Compact"/>
              <w:jc w:val="left"/>
            </w:pPr>
            <w:r>
              <w:t xml:space="preserve">ETF Refresh/src/worker-13f.js</w:t>
            </w:r>
          </w:p>
        </w:tc>
        <w:tc>
          <w:p>
            <w:pPr>
              <w:pStyle w:val="Compact"/>
              <w:jc w:val="left"/>
            </w:pPr>
            <w:r>
              <w:t xml:space="preserve">On request — no cron</w:t>
            </w:r>
          </w:p>
        </w:tc>
        <w:tc>
          <w:p>
            <w:pPr>
              <w:pStyle w:val="Compact"/>
              <w:jc w:val="left"/>
            </w:pPr>
            <w:r>
              <w:rPr>
                <w:b/>
              </w:rPr>
              <w:t xml:space="preserve">Search logic overhauled 12 August</w:t>
            </w:r>
            <w:r>
              <w:t xml:space="preserve"> </w:t>
            </w:r>
            <w:r>
              <w:t xml:space="preserve">— /api/13f-search now checks Meridian’s own managermaster/manageraliases registry first via ranked name matching with an AUM tiebreak, falling back to SEC’s EFTS full-text search only when no local match exists. Root cause and full detail in Section 22.6.</w:t>
            </w:r>
          </w:p>
        </w:tc>
      </w:tr>
      <w:tr>
        <w:tc>
          <w:p>
            <w:pPr>
              <w:pStyle w:val="Compact"/>
              <w:jc w:val="left"/>
            </w:pPr>
            <w:r>
              <w:t xml:space="preserve">meridian-filings</w:t>
            </w:r>
          </w:p>
        </w:tc>
        <w:tc>
          <w:p>
            <w:pPr>
              <w:pStyle w:val="Compact"/>
              <w:jc w:val="left"/>
            </w:pPr>
            <w:r>
              <w:t xml:space="preserve">Corporate Atlas/src/entities-filings.js</w:t>
            </w:r>
          </w:p>
        </w:tc>
        <w:tc>
          <w:p>
            <w:pPr>
              <w:pStyle w:val="Compact"/>
              <w:jc w:val="left"/>
            </w:pPr>
            <w:r>
              <w:t xml:space="preserve">On request — no cron</w:t>
            </w:r>
          </w:p>
        </w:tc>
        <w:tc>
          <w:p>
            <w:pPr>
              <w:pStyle w:val="Compact"/>
              <w:jc w:val="left"/>
            </w:pPr>
            <w:r>
              <w:t xml:space="preserve">Gained a new route this sprint: /api/issuer-filings?ticker= (10 August), completing the SEC-filings-lookup migration from meridian-proxy that was originally intended but never finished before v11.</w:t>
            </w:r>
          </w:p>
        </w:tc>
      </w:tr>
      <w:tr>
        <w:tc>
          <w:p>
            <w:pPr>
              <w:pStyle w:val="Compact"/>
              <w:jc w:val="left"/>
            </w:pPr>
            <w:r>
              <w:t xml:space="preserve">meridian-entities-api</w:t>
            </w:r>
          </w:p>
        </w:tc>
        <w:tc>
          <w:p>
            <w:pPr>
              <w:pStyle w:val="Compact"/>
              <w:jc w:val="left"/>
            </w:pPr>
            <w:r>
              <w:t xml:space="preserve">Corporate Atlas/src/entities-api.js</w:t>
            </w:r>
          </w:p>
        </w:tc>
        <w:tc>
          <w:p>
            <w:pPr>
              <w:pStyle w:val="Compact"/>
              <w:jc w:val="left"/>
            </w:pPr>
            <w:r>
              <w:t xml:space="preserve">On request</w:t>
            </w:r>
          </w:p>
        </w:tc>
        <w:tc>
          <w:p>
            <w:pPr>
              <w:pStyle w:val="Compact"/>
              <w:jc w:val="left"/>
            </w:pPr>
            <w:r>
              <w:t xml:space="preserve">Gained a new route this sprint: /api/entities/:id/instruments (10 August, redesigned 12 August) — see Section 22.1.</w:t>
            </w:r>
          </w:p>
        </w:tc>
      </w:tr>
      <w:tr>
        <w:tc>
          <w:p>
            <w:pPr>
              <w:pStyle w:val="Compact"/>
              <w:jc w:val="left"/>
            </w:pPr>
            <w:r>
              <w:t xml:space="preserve">meridian-entities-enrich</w:t>
            </w:r>
          </w:p>
        </w:tc>
        <w:tc>
          <w:p>
            <w:pPr>
              <w:pStyle w:val="Compact"/>
              <w:jc w:val="left"/>
            </w:pPr>
            <w:r>
              <w:t xml:space="preserve">Corporate Atlas/src/entities-enrich.js</w:t>
            </w:r>
          </w:p>
        </w:tc>
        <w:tc>
          <w:p>
            <w:pPr>
              <w:pStyle w:val="Compact"/>
              <w:jc w:val="left"/>
            </w:pPr>
            <w:r>
              <w:rPr>
                <w:b/>
              </w:rPr>
              <w:t xml:space="preserve">Re-enabled 1 August: daily, 06:00 and 06:50 UTC (2 triggers/day, down from the original 72/day legacy config)</w:t>
            </w:r>
            <w:r>
              <w:t xml:space="preserve"> </w:t>
            </w:r>
            <w:r>
              <w:t xml:space="preserve">— was FROZEN in v11</w:t>
            </w:r>
          </w:p>
        </w:tc>
        <w:tc>
          <w:p>
            <w:pPr>
              <w:pStyle w:val="Compact"/>
              <w:jc w:val="left"/>
            </w:pPr>
            <w:r>
              <w:t xml:space="preserve">Write-budget guard tightened to a headroom-based check (5,000 headroom required) rather than the older</w:t>
            </w:r>
            <w:r>
              <w:t xml:space="preserve"> </w:t>
            </w:r>
            <w:r>
              <w:t xml:space="preserve">“</w:t>
            </w:r>
            <w:r>
              <w:t xml:space="preserve">used ≥ threshold</w:t>
            </w:r>
            <w:r>
              <w:t xml:space="preserve">”</w:t>
            </w:r>
            <w:r>
              <w:t xml:space="preserve"> </w:t>
            </w:r>
            <w:r>
              <w:t xml:space="preserve">pattern.</w:t>
            </w:r>
          </w:p>
        </w:tc>
      </w:tr>
      <w:tr>
        <w:tc>
          <w:p>
            <w:pPr>
              <w:pStyle w:val="Compact"/>
              <w:jc w:val="left"/>
            </w:pPr>
            <w:r>
              <w:t xml:space="preserve">meridian-entities-seed</w:t>
            </w:r>
          </w:p>
        </w:tc>
        <w:tc>
          <w:p>
            <w:pPr>
              <w:pStyle w:val="Compact"/>
              <w:jc w:val="left"/>
            </w:pPr>
            <w:r>
              <w:t xml:space="preserve">Corporate Atlas/src/entities-seed.js</w:t>
            </w:r>
          </w:p>
        </w:tc>
        <w:tc>
          <w:p>
            <w:pPr>
              <w:pStyle w:val="Compact"/>
              <w:jc w:val="left"/>
            </w:pPr>
            <w:r>
              <w:rPr>
                <w:b/>
              </w:rPr>
              <w:t xml:space="preserve">Re-enabled 1 August: weekly, Monday 04:00 UTC (0 4 * * 1)</w:t>
            </w:r>
            <w:r>
              <w:t xml:space="preserve"> </w:t>
            </w:r>
            <w:r>
              <w:t xml:space="preserve">— was FROZEN in v11</w:t>
            </w:r>
          </w:p>
        </w:tc>
        <w:tc>
          <w:p>
            <w:pPr>
              <w:pStyle w:val="Compact"/>
              <w:jc w:val="left"/>
            </w:pPr>
            <w:r>
              <w:t xml:space="preserve">checkHold() kill switch added (this Worker had none, a real gap caught same-day as the 2 August incident below). Write-budget guard tightened to a headroom-based check (65,000 headroom required, reflecting this Worker’s ~61,400-row observed single-run worst case). A mis-scheduled early firing on 2 August (Sunday instead of the registered Monday) consumed ~97,594 of that day’s write cap — root cause narrowed to a likely Cloudflare-side scheduling quirk, not fully confirmed; see Section 22.2.</w:t>
            </w:r>
          </w:p>
        </w:tc>
      </w:tr>
      <w:tr>
        <w:tc>
          <w:p>
            <w:pPr>
              <w:pStyle w:val="Compact"/>
              <w:jc w:val="left"/>
            </w:pPr>
            <w:r>
              <w:t xml:space="preserve">meridian-entities-delta</w:t>
            </w:r>
          </w:p>
        </w:tc>
        <w:tc>
          <w:p>
            <w:pPr>
              <w:pStyle w:val="Compact"/>
              <w:jc w:val="left"/>
            </w:pPr>
            <w:r>
              <w:t xml:space="preserve">Corporate Atlas/src/entities-delta.js</w:t>
            </w:r>
          </w:p>
        </w:tc>
        <w:tc>
          <w:p>
            <w:pPr>
              <w:pStyle w:val="Compact"/>
              <w:jc w:val="left"/>
            </w:pPr>
            <w:r>
              <w:t xml:space="preserve">FROZEN (commented out)</w:t>
            </w:r>
          </w:p>
        </w:tc>
        <w:tc>
          <w:p>
            <w:pPr>
              <w:pStyle w:val="Compact"/>
              <w:jc w:val="left"/>
            </w:pPr>
            <w:r>
              <w:t xml:space="preserve">Unchanged this sprint — still deferred to September.</w:t>
            </w:r>
          </w:p>
        </w:tc>
      </w:tr>
      <w:tr>
        <w:tc>
          <w:p>
            <w:pPr>
              <w:pStyle w:val="Compact"/>
              <w:jc w:val="left"/>
            </w:pPr>
            <w:r>
              <w:t xml:space="preserve">meridian-entities-figi</w:t>
            </w:r>
          </w:p>
        </w:tc>
        <w:tc>
          <w:p>
            <w:pPr>
              <w:pStyle w:val="Compact"/>
              <w:jc w:val="left"/>
            </w:pPr>
            <w:r>
              <w:t xml:space="preserve">Corporate Atlas/src/entities-figi.js</w:t>
            </w:r>
          </w:p>
        </w:tc>
        <w:tc>
          <w:p>
            <w:pPr>
              <w:pStyle w:val="Compact"/>
              <w:jc w:val="left"/>
            </w:pPr>
            <w:r>
              <w:t xml:space="preserve">On request — no cron</w:t>
            </w:r>
          </w:p>
        </w:tc>
        <w:tc>
          <w:p>
            <w:pPr>
              <w:pStyle w:val="Compact"/>
              <w:jc w:val="left"/>
            </w:pPr>
            <w:r>
              <w:rPr>
                <w:b/>
              </w:rPr>
              <w:t xml:space="preserve">NEW this sprint.</w:t>
            </w:r>
            <w:r>
              <w:t xml:space="preserve"> </w:t>
            </w:r>
            <w:r>
              <w:t xml:space="preserve">OpenFIGI-based instrument-to-issuer matching, raising instrument_entity_map coverage from 43.9% to 60.0%. See Section 22.1.</w:t>
            </w:r>
          </w:p>
        </w:tc>
      </w:tr>
      <w:tr>
        <w:tc>
          <w:p>
            <w:pPr>
              <w:pStyle w:val="Compact"/>
              <w:jc w:val="left"/>
            </w:pPr>
            <w:r>
              <w:t xml:space="preserve">meridian-ops</w:t>
            </w:r>
          </w:p>
        </w:tc>
        <w:tc>
          <w:p>
            <w:pPr>
              <w:pStyle w:val="Compact"/>
              <w:jc w:val="left"/>
            </w:pPr>
            <w:r>
              <w:t xml:space="preserve">Ops/src/ops-api.js</w:t>
            </w:r>
          </w:p>
        </w:tc>
        <w:tc>
          <w:p>
            <w:pPr>
              <w:pStyle w:val="Compact"/>
              <w:jc w:val="left"/>
            </w:pPr>
            <w:r>
              <w:t xml:space="preserve">On request — no cron</w:t>
            </w:r>
          </w:p>
        </w:tc>
        <w:tc>
          <w:p>
            <w:pPr>
              <w:pStyle w:val="Compact"/>
              <w:jc w:val="left"/>
            </w:pPr>
            <w:r>
              <w:rPr>
                <w:b/>
              </w:rPr>
              <w:t xml:space="preserve">NEW this sprint (2 August).</w:t>
            </w:r>
            <w:r>
              <w:t xml:space="preserve"> </w:t>
            </w:r>
            <w:r>
              <w:t xml:space="preserve">Live Cloudflare GraphQL Analytics proxy — invocation history and account-wide D1 read/write totals, surfaced in the Ops dashboard’s Drift &amp; Budget tab. See Section 22.7.</w:t>
            </w:r>
          </w:p>
        </w:tc>
      </w:tr>
    </w:tbl>
    <w:p>
      <w:pPr>
        <w:pStyle w:val="Heading1"/>
      </w:pPr>
      <w:bookmarkStart w:id="24" w:name="d1-database-tables-full-inventory"/>
      <w:r>
        <w:rPr>
          <w:b/>
        </w:rPr>
        <w:t xml:space="preserve">3. D1 Database Tables — Full Inventory</w:t>
      </w:r>
      <w:bookmarkEnd w:id="24"/>
    </w:p>
    <w:p>
      <w:pPr>
        <w:pStyle w:val="FirstParagraph"/>
      </w:pPr>
      <w:r>
        <w:rPr>
          <w:b/>
        </w:rPr>
        <w:t xml:space="preserve">28 tables total (up from 27 in v11) — openfigicache added this sprint. Several row counts changed materially; where this document could not independently re-verify a live count for August 12, it says so explicitly rather than assert stale figures as current, matching v11’s own convention.</w:t>
      </w:r>
    </w:p>
    <w:p>
      <w:pPr>
        <w:pStyle w:val="Heading2"/>
      </w:pPr>
      <w:bookmarkStart w:id="25" w:name="etf-domain-core"/>
      <w:r>
        <w:rPr>
          <w:b/>
        </w:rPr>
        <w:t xml:space="preserve">3.1 ETF Domain (Core)</w:t>
      </w:r>
      <w:bookmarkEnd w:id="25"/>
    </w:p>
    <w:p>
      <w:pPr>
        <w:pStyle w:val="FirstParagraph"/>
      </w:pPr>
      <w:r>
        <w:rPr>
          <w:i/>
        </w:rPr>
        <w:t xml:space="preserve">Row counts as of the June 21, 2026 baseline (carried forward from v11) — not re-verified during the August Sprint; the ETF pipeline itself was not a focus area this sprint beyond the cadence and ALTER TABLE fixes noted in Section 2.2.</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Table</w:t>
            </w:r>
          </w:p>
        </w:tc>
        <w:tc>
          <w:tcPr>
            <w:tcBorders>
              <w:bottom w:val="single"/>
            </w:tcBorders>
            <w:vAlign w:val="bottom"/>
          </w:tcPr>
          <w:p>
            <w:pPr>
              <w:pStyle w:val="Compact"/>
              <w:jc w:val="left"/>
            </w:pPr>
            <w:r>
              <w:rPr>
                <w:b/>
              </w:rPr>
              <w:t xml:space="preserve">Purpose</w:t>
            </w:r>
          </w:p>
        </w:tc>
        <w:tc>
          <w:tcPr>
            <w:tcBorders>
              <w:bottom w:val="single"/>
            </w:tcBorders>
            <w:vAlign w:val="bottom"/>
          </w:tcPr>
          <w:p>
            <w:pPr>
              <w:pStyle w:val="Compact"/>
              <w:jc w:val="left"/>
            </w:pPr>
            <w:r>
              <w:rPr>
                <w:b/>
              </w:rPr>
              <w:t xml:space="preserve">Rows (approx.)</w:t>
            </w:r>
          </w:p>
        </w:tc>
      </w:tr>
      <w:tr>
        <w:tc>
          <w:p>
            <w:pPr>
              <w:pStyle w:val="Compact"/>
              <w:jc w:val="left"/>
            </w:pPr>
            <w:r>
              <w:t xml:space="preserve">etf_master</w:t>
            </w:r>
          </w:p>
        </w:tc>
        <w:tc>
          <w:p>
            <w:pPr>
              <w:pStyle w:val="Compact"/>
              <w:jc w:val="left"/>
            </w:pPr>
            <w:r>
              <w:t xml:space="preserve">ETF directory</w:t>
            </w:r>
          </w:p>
        </w:tc>
        <w:tc>
          <w:p>
            <w:pPr>
              <w:pStyle w:val="Compact"/>
              <w:jc w:val="left"/>
            </w:pPr>
            <w:r>
              <w:t xml:space="preserve">264 total, 238 deep</w:t>
            </w:r>
          </w:p>
        </w:tc>
      </w:tr>
      <w:tr>
        <w:tc>
          <w:p>
            <w:pPr>
              <w:pStyle w:val="Compact"/>
              <w:jc w:val="left"/>
            </w:pPr>
            <w:r>
              <w:t xml:space="preserve">fund_holdings_monthly</w:t>
            </w:r>
          </w:p>
        </w:tc>
        <w:tc>
          <w:p>
            <w:pPr>
              <w:pStyle w:val="Compact"/>
              <w:jc w:val="left"/>
            </w:pPr>
            <w:r>
              <w:t xml:space="preserve">Monthly N-PORT holdings</w:t>
            </w:r>
          </w:p>
        </w:tc>
        <w:tc>
          <w:p>
            <w:pPr>
              <w:pStyle w:val="Compact"/>
              <w:jc w:val="left"/>
            </w:pPr>
            <w:r>
              <w:t xml:space="preserve">356,253</w:t>
            </w:r>
          </w:p>
        </w:tc>
      </w:tr>
      <w:tr>
        <w:tc>
          <w:p>
            <w:pPr>
              <w:pStyle w:val="Compact"/>
              <w:jc w:val="left"/>
            </w:pPr>
            <w:r>
              <w:t xml:space="preserve">fund_snapshot_monthly</w:t>
            </w:r>
          </w:p>
        </w:tc>
        <w:tc>
          <w:p>
            <w:pPr>
              <w:pStyle w:val="Compact"/>
              <w:jc w:val="left"/>
            </w:pPr>
            <w:r>
              <w:t xml:space="preserve">Monthly fund-level stats</w:t>
            </w:r>
          </w:p>
        </w:tc>
        <w:tc>
          <w:p>
            <w:pPr>
              <w:pStyle w:val="Compact"/>
              <w:jc w:val="left"/>
            </w:pPr>
            <w:r>
              <w:t xml:space="preserve">466</w:t>
            </w:r>
          </w:p>
        </w:tc>
      </w:tr>
      <w:tr>
        <w:tc>
          <w:p>
            <w:pPr>
              <w:pStyle w:val="Compact"/>
              <w:jc w:val="left"/>
            </w:pPr>
            <w:r>
              <w:t xml:space="preserve">universe_changes_monthly</w:t>
            </w:r>
          </w:p>
        </w:tc>
        <w:tc>
          <w:p>
            <w:pPr>
              <w:pStyle w:val="Compact"/>
              <w:jc w:val="left"/>
            </w:pPr>
            <w:r>
              <w:t xml:space="preserve">Pre-computed universe rotation signal</w:t>
            </w:r>
          </w:p>
        </w:tc>
        <w:tc>
          <w:p>
            <w:pPr>
              <w:pStyle w:val="Compact"/>
              <w:jc w:val="left"/>
            </w:pPr>
            <w:r>
              <w:t xml:space="preserve">0 (disabled since June 12 incident)</w:t>
            </w:r>
          </w:p>
        </w:tc>
      </w:tr>
      <w:tr>
        <w:tc>
          <w:p>
            <w:pPr>
              <w:pStyle w:val="Compact"/>
              <w:jc w:val="left"/>
            </w:pPr>
            <w:r>
              <w:t xml:space="preserve">etf_aliases</w:t>
            </w:r>
          </w:p>
        </w:tc>
        <w:tc>
          <w:p>
            <w:pPr>
              <w:pStyle w:val="Compact"/>
              <w:jc w:val="left"/>
            </w:pPr>
            <w:r>
              <w:t xml:space="preserve">Alias-to-canonical name map</w:t>
            </w:r>
          </w:p>
        </w:tc>
        <w:tc>
          <w:p>
            <w:pPr>
              <w:pStyle w:val="Compact"/>
              <w:jc w:val="left"/>
            </w:pPr>
            <w:r>
              <w:t xml:space="preserve">73</w:t>
            </w:r>
          </w:p>
        </w:tc>
      </w:tr>
      <w:tr>
        <w:tc>
          <w:p>
            <w:pPr>
              <w:pStyle w:val="Compact"/>
              <w:jc w:val="left"/>
            </w:pPr>
            <w:r>
              <w:t xml:space="preserve">edgar_bootstrap_progress</w:t>
            </w:r>
          </w:p>
        </w:tc>
        <w:tc>
          <w:p>
            <w:pPr>
              <w:pStyle w:val="Compact"/>
              <w:jc w:val="left"/>
            </w:pPr>
            <w:r>
              <w:t xml:space="preserve">Bootstrap job progress</w:t>
            </w:r>
          </w:p>
        </w:tc>
        <w:tc>
          <w:p>
            <w:pPr>
              <w:pStyle w:val="Compact"/>
              <w:jc w:val="left"/>
            </w:pPr>
            <w:r>
              <w:t xml:space="preserve">1,039</w:t>
            </w:r>
          </w:p>
        </w:tc>
      </w:tr>
      <w:tr>
        <w:tc>
          <w:p>
            <w:pPr>
              <w:pStyle w:val="Compact"/>
              <w:jc w:val="left"/>
            </w:pPr>
            <w:r>
              <w:t xml:space="preserve">edgar_bootstrap_state</w:t>
            </w:r>
          </w:p>
        </w:tc>
        <w:tc>
          <w:p>
            <w:pPr>
              <w:pStyle w:val="Compact"/>
              <w:jc w:val="left"/>
            </w:pPr>
            <w:r>
              <w:t xml:space="preserve">Key-value state</w:t>
            </w:r>
          </w:p>
        </w:tc>
        <w:tc>
          <w:p>
            <w:pPr>
              <w:pStyle w:val="Compact"/>
              <w:jc w:val="left"/>
            </w:pPr>
            <w:r>
              <w:t xml:space="preserve">7</w:t>
            </w:r>
          </w:p>
        </w:tc>
      </w:tr>
      <w:tr>
        <w:tc>
          <w:p>
            <w:pPr>
              <w:pStyle w:val="Compact"/>
              <w:jc w:val="left"/>
            </w:pPr>
            <w:r>
              <w:t xml:space="preserve">holdings_pipeline_state</w:t>
            </w:r>
          </w:p>
        </w:tc>
        <w:tc>
          <w:p>
            <w:pPr>
              <w:pStyle w:val="Compact"/>
              <w:jc w:val="left"/>
            </w:pPr>
            <w:r>
              <w:t xml:space="preserve">Key-value state — write guard, resume offsets, and (new this sprint) hold_all_jobs, financialfact_backfill_offset, financialfact_backfill_complete</w:t>
            </w:r>
          </w:p>
        </w:tc>
        <w:tc>
          <w:p>
            <w:pPr>
              <w:pStyle w:val="Compact"/>
              <w:jc w:val="left"/>
            </w:pPr>
            <w:r>
              <w:t xml:space="preserve">27+ (grew this sprint with new keys, not recounted)</w:t>
            </w:r>
          </w:p>
        </w:tc>
      </w:tr>
    </w:tbl>
    <w:p>
      <w:pPr>
        <w:pStyle w:val="Heading2"/>
      </w:pPr>
      <w:bookmarkStart w:id="26" w:name="entities-domain-core"/>
      <w:r>
        <w:rPr>
          <w:b/>
        </w:rPr>
        <w:t xml:space="preserve">3.2 Entities Domain (Core)</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Table</w:t>
            </w:r>
          </w:p>
        </w:tc>
        <w:tc>
          <w:tcPr>
            <w:tcBorders>
              <w:bottom w:val="single"/>
            </w:tcBorders>
            <w:vAlign w:val="bottom"/>
          </w:tcPr>
          <w:p>
            <w:pPr>
              <w:pStyle w:val="Compact"/>
              <w:jc w:val="left"/>
            </w:pPr>
            <w:r>
              <w:rPr>
                <w:b/>
              </w:rPr>
              <w:t xml:space="preserve">Purpose</w:t>
            </w:r>
          </w:p>
        </w:tc>
        <w:tc>
          <w:tcPr>
            <w:tcBorders>
              <w:bottom w:val="single"/>
            </w:tcBorders>
            <w:vAlign w:val="bottom"/>
          </w:tcPr>
          <w:p>
            <w:pPr>
              <w:pStyle w:val="Compact"/>
              <w:jc w:val="left"/>
            </w:pPr>
            <w:r>
              <w:rPr>
                <w:b/>
              </w:rPr>
              <w:t xml:space="preserve">Rows</w:t>
            </w:r>
          </w:p>
        </w:tc>
      </w:tr>
      <w:tr>
        <w:tc>
          <w:p>
            <w:pPr>
              <w:pStyle w:val="Compact"/>
              <w:jc w:val="left"/>
            </w:pPr>
            <w:r>
              <w:t xml:space="preserve">entity_master</w:t>
            </w:r>
          </w:p>
        </w:tc>
        <w:tc>
          <w:p>
            <w:pPr>
              <w:pStyle w:val="Compact"/>
              <w:jc w:val="left"/>
            </w:pPr>
            <w:r>
              <w:t xml:space="preserve">All legal entities</w:t>
            </w:r>
          </w:p>
        </w:tc>
        <w:tc>
          <w:p>
            <w:pPr>
              <w:pStyle w:val="Compact"/>
              <w:jc w:val="left"/>
            </w:pPr>
            <w:r>
              <w:t xml:space="preserve">11,111 total (June 21 count, not re-verified this sprint) — 10,705 operating, 290 fund, 68 government, 43 manager, 4 holding, 1 spv. The 290-vs-264 fund-count drift noted informally since v9/v10 was investigated this sprint (Section 22.4) — real mechanism narrowed but not fully confirmed. A separate, unticketed finding this sprint: at least 2 confirmed duplicate-name pairs (CureVac NV/N.V., Jai Corp Ltd/JAI CORP LIMITED) exist beyond the Danaher case already logged in v11 Section 21.7 — full scope still unknown.</w:t>
            </w:r>
          </w:p>
        </w:tc>
      </w:tr>
      <w:tr>
        <w:tc>
          <w:p>
            <w:pPr>
              <w:pStyle w:val="Compact"/>
              <w:jc w:val="left"/>
            </w:pPr>
            <w:r>
              <w:t xml:space="preserve">entity_isin_map</w:t>
            </w:r>
          </w:p>
        </w:tc>
        <w:tc>
          <w:p>
            <w:pPr>
              <w:pStyle w:val="Compact"/>
              <w:jc w:val="left"/>
            </w:pPr>
            <w:r>
              <w:t xml:space="preserve">ISIN to entity_id bridge</w:t>
            </w:r>
          </w:p>
        </w:tc>
        <w:tc>
          <w:p>
            <w:pPr>
              <w:pStyle w:val="Compact"/>
              <w:jc w:val="left"/>
            </w:pPr>
            <w:r>
              <w:t xml:space="preserve">18,563 (June 21 count, not re-verified)</w:t>
            </w:r>
          </w:p>
        </w:tc>
      </w:tr>
      <w:tr>
        <w:tc>
          <w:p>
            <w:pPr>
              <w:pStyle w:val="Compact"/>
              <w:jc w:val="left"/>
            </w:pPr>
            <w:r>
              <w:t xml:space="preserve">entity_relationships</w:t>
            </w:r>
          </w:p>
        </w:tc>
        <w:tc>
          <w:p>
            <w:pPr>
              <w:pStyle w:val="Compact"/>
              <w:jc w:val="left"/>
            </w:pPr>
            <w:r>
              <w:t xml:space="preserve">Typed edges</w:t>
            </w:r>
          </w:p>
        </w:tc>
        <w:tc>
          <w:p>
            <w:pPr>
              <w:pStyle w:val="Compact"/>
              <w:jc w:val="left"/>
            </w:pPr>
            <w:r>
              <w:t xml:space="preserve">268 (June 21 count, not re-verified)</w:t>
            </w:r>
          </w:p>
        </w:tc>
      </w:tr>
      <w:tr>
        <w:tc>
          <w:p>
            <w:pPr>
              <w:pStyle w:val="Compact"/>
              <w:jc w:val="left"/>
            </w:pPr>
            <w:r>
              <w:t xml:space="preserve">entity_enrichment_queue</w:t>
            </w:r>
          </w:p>
        </w:tc>
        <w:tc>
          <w:p>
            <w:pPr>
              <w:pStyle w:val="Compact"/>
              <w:jc w:val="left"/>
            </w:pPr>
            <w:r>
              <w:t xml:space="preserve">GLEIF enrichment work queue</w:t>
            </w:r>
          </w:p>
        </w:tc>
        <w:tc>
          <w:p>
            <w:pPr>
              <w:pStyle w:val="Compact"/>
              <w:jc w:val="left"/>
            </w:pPr>
            <w:r>
              <w:t xml:space="preserve">Not re-verified this sprint — meridian-entities-enrich resumed running 1 August after being frozen through v11, so this population should be draining again, but a fresh count was not taken for this document.</w:t>
            </w:r>
          </w:p>
        </w:tc>
      </w:tr>
      <w:tr>
        <w:tc>
          <w:p>
            <w:pPr>
              <w:pStyle w:val="Compact"/>
              <w:jc w:val="left"/>
            </w:pPr>
            <w:r>
              <w:t xml:space="preserve">entity_exposure_monthly</w:t>
            </w:r>
          </w:p>
        </w:tc>
        <w:tc>
          <w:p>
            <w:pPr>
              <w:pStyle w:val="Compact"/>
              <w:jc w:val="left"/>
            </w:pPr>
            <w:r>
              <w:t xml:space="preserve">Pre-computed exposure facts</w:t>
            </w:r>
          </w:p>
        </w:tc>
        <w:tc>
          <w:p>
            <w:pPr>
              <w:pStyle w:val="Compact"/>
              <w:jc w:val="left"/>
            </w:pPr>
            <w:r>
              <w:t xml:space="preserve">28,508 (June 21 count, not re-verified)</w:t>
            </w:r>
          </w:p>
        </w:tc>
      </w:tr>
      <w:tr>
        <w:tc>
          <w:p>
            <w:pPr>
              <w:pStyle w:val="Compact"/>
              <w:jc w:val="left"/>
            </w:pPr>
            <w:r>
              <w:t xml:space="preserve">fund_exposure_coverage</w:t>
            </w:r>
          </w:p>
        </w:tc>
        <w:tc>
          <w:p>
            <w:pPr>
              <w:pStyle w:val="Compact"/>
              <w:jc w:val="left"/>
            </w:pPr>
            <w:r>
              <w:t xml:space="preserve">Coverage denominator</w:t>
            </w:r>
          </w:p>
        </w:tc>
        <w:tc>
          <w:p>
            <w:pPr>
              <w:pStyle w:val="Compact"/>
              <w:jc w:val="left"/>
            </w:pPr>
            <w:r>
              <w:t xml:space="preserve">133 (June 21 count, not re-verified)</w:t>
            </w:r>
          </w:p>
        </w:tc>
      </w:tr>
      <w:tr>
        <w:tc>
          <w:p>
            <w:pPr>
              <w:pStyle w:val="Compact"/>
              <w:jc w:val="left"/>
            </w:pPr>
            <w:r>
              <w:t xml:space="preserve">fund_entity_link</w:t>
            </w:r>
          </w:p>
        </w:tc>
        <w:tc>
          <w:p>
            <w:pPr>
              <w:pStyle w:val="Compact"/>
              <w:jc w:val="left"/>
            </w:pPr>
            <w:r>
              <w:t xml:space="preserve">Maps ETFs to fund entity_id</w:t>
            </w:r>
          </w:p>
        </w:tc>
        <w:tc>
          <w:p>
            <w:pPr>
              <w:pStyle w:val="Compact"/>
              <w:jc w:val="left"/>
            </w:pPr>
            <w:r>
              <w:t xml:space="preserve">264 (June 21 count, not re-verified)</w:t>
            </w:r>
          </w:p>
        </w:tc>
      </w:tr>
      <w:tr>
        <w:tc>
          <w:p>
            <w:pPr>
              <w:pStyle w:val="Compact"/>
              <w:jc w:val="left"/>
            </w:pPr>
            <w:r>
              <w:t xml:space="preserve">instrument_master</w:t>
            </w:r>
          </w:p>
        </w:tc>
        <w:tc>
          <w:p>
            <w:pPr>
              <w:pStyle w:val="Compact"/>
              <w:jc w:val="left"/>
            </w:pPr>
            <w:r>
              <w:t xml:space="preserve">Normalized security universe</w:t>
            </w:r>
          </w:p>
        </w:tc>
        <w:tc>
          <w:p>
            <w:pPr>
              <w:pStyle w:val="Compact"/>
              <w:jc w:val="left"/>
            </w:pPr>
            <w:r>
              <w:t xml:space="preserve">54,562 (June 21 count, not re-verified — OpenFIGI matching this sprint wrote only to instrument_entity_map, not this table)</w:t>
            </w:r>
          </w:p>
        </w:tc>
      </w:tr>
      <w:tr>
        <w:tc>
          <w:p>
            <w:pPr>
              <w:pStyle w:val="Compact"/>
              <w:jc w:val="left"/>
            </w:pPr>
            <w:r>
              <w:t xml:space="preserve">instrument_entity_map</w:t>
            </w:r>
          </w:p>
        </w:tc>
        <w:tc>
          <w:p>
            <w:pPr>
              <w:pStyle w:val="Compact"/>
              <w:jc w:val="left"/>
            </w:pPr>
            <w:r>
              <w:t xml:space="preserve">Maps instruments to issuer entities</w:t>
            </w:r>
          </w:p>
        </w:tc>
        <w:tc>
          <w:p>
            <w:pPr>
              <w:pStyle w:val="Compact"/>
              <w:jc w:val="left"/>
            </w:pPr>
            <w:r>
              <w:rPr>
                <w:b/>
              </w:rPr>
              <w:t xml:space="preserve">32,769 — 60.0% coverage of 54,562 instruments (up from 23,963 / 43.9% in v11).</w:t>
            </w:r>
            <w:r>
              <w:t xml:space="preserve"> </w:t>
            </w:r>
            <w:r>
              <w:t xml:space="preserve">+8,800 openfigi_tier1 rows from the full OpenFIGI backfill, +6 from a re-match pass against the ~19,805 previously-unmatched candidates. See Section 22.1.</w:t>
            </w:r>
          </w:p>
        </w:tc>
      </w:tr>
      <w:tr>
        <w:tc>
          <w:p>
            <w:pPr>
              <w:pStyle w:val="Compact"/>
              <w:jc w:val="left"/>
            </w:pPr>
            <w:r>
              <w:t xml:space="preserve">openfigicache</w:t>
            </w:r>
          </w:p>
        </w:tc>
        <w:tc>
          <w:p>
            <w:pPr>
              <w:pStyle w:val="Compact"/>
              <w:jc w:val="left"/>
            </w:pPr>
            <w:r>
              <w:rPr>
                <w:b/>
              </w:rPr>
              <w:t xml:space="preserve">NEW this sprint.</w:t>
            </w:r>
            <w:r>
              <w:t xml:space="preserve"> </w:t>
            </w:r>
            <w:r>
              <w:t xml:space="preserve">Every instrument ever considered for OpenFIGI matching, matched or not — closes a gap where unmatched instruments were being permanently re-queried on every backfill run.</w:t>
            </w:r>
          </w:p>
        </w:tc>
        <w:tc>
          <w:p>
            <w:pPr>
              <w:pStyle w:val="Compact"/>
              <w:jc w:val="left"/>
            </w:pPr>
            <w:r>
              <w:t xml:space="preserve">28,605</w:t>
            </w:r>
          </w:p>
        </w:tc>
      </w:tr>
    </w:tbl>
    <w:p>
      <w:pPr>
        <w:pStyle w:val="Heading2"/>
      </w:pPr>
      <w:bookmarkStart w:id="27" w:name="f-domain"/>
      <w:r>
        <w:rPr>
          <w:b/>
        </w:rPr>
        <w:t xml:space="preserve">3.3 13F Domain</w:t>
      </w:r>
      <w:bookmarkEnd w:id="27"/>
    </w:p>
    <w:p>
      <w:pPr>
        <w:pStyle w:val="FirstParagraph"/>
      </w:pPr>
      <w:r>
        <w:rPr>
          <w:i/>
        </w:rPr>
        <w:t xml:space="preserve">Unchanged in row count this sprint — no reseed occurred. Search architecture, not data, changed (Section 22.6).</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Table</w:t>
            </w:r>
          </w:p>
        </w:tc>
        <w:tc>
          <w:tcPr>
            <w:tcBorders>
              <w:bottom w:val="single"/>
            </w:tcBorders>
            <w:vAlign w:val="bottom"/>
          </w:tcPr>
          <w:p>
            <w:pPr>
              <w:pStyle w:val="Compact"/>
              <w:jc w:val="left"/>
            </w:pPr>
            <w:r>
              <w:rPr>
                <w:b/>
              </w:rPr>
              <w:t xml:space="preserve">Purpose</w:t>
            </w:r>
          </w:p>
        </w:tc>
        <w:tc>
          <w:tcPr>
            <w:tcBorders>
              <w:bottom w:val="single"/>
            </w:tcBorders>
            <w:vAlign w:val="bottom"/>
          </w:tcPr>
          <w:p>
            <w:pPr>
              <w:pStyle w:val="Compact"/>
              <w:jc w:val="left"/>
            </w:pPr>
            <w:r>
              <w:rPr>
                <w:b/>
              </w:rPr>
              <w:t xml:space="preserve">Rows</w:t>
            </w:r>
          </w:p>
        </w:tc>
      </w:tr>
      <w:tr>
        <w:tc>
          <w:p>
            <w:pPr>
              <w:pStyle w:val="Compact"/>
              <w:jc w:val="left"/>
            </w:pPr>
            <w:r>
              <w:t xml:space="preserve">managermaster</w:t>
            </w:r>
          </w:p>
        </w:tc>
        <w:tc>
          <w:p>
            <w:pPr>
              <w:pStyle w:val="Compact"/>
              <w:jc w:val="left"/>
            </w:pPr>
            <w:r>
              <w:t xml:space="preserve">All 13F filers, canonical names, CIKs</w:t>
            </w:r>
          </w:p>
        </w:tc>
        <w:tc>
          <w:p>
            <w:pPr>
              <w:pStyle w:val="Compact"/>
              <w:jc w:val="left"/>
            </w:pPr>
            <w:r>
              <w:t xml:space="preserve">11,135 (July 26 count, not re-verified)</w:t>
            </w:r>
          </w:p>
        </w:tc>
      </w:tr>
      <w:tr>
        <w:tc>
          <w:p>
            <w:pPr>
              <w:pStyle w:val="Compact"/>
              <w:jc w:val="left"/>
            </w:pPr>
            <w:r>
              <w:t xml:space="preserve">manageraliases</w:t>
            </w:r>
          </w:p>
        </w:tc>
        <w:tc>
          <w:p>
            <w:pPr>
              <w:pStyle w:val="Compact"/>
              <w:jc w:val="left"/>
            </w:pPr>
            <w:r>
              <w:t xml:space="preserve">Name variants per manager</w:t>
            </w:r>
          </w:p>
        </w:tc>
        <w:tc>
          <w:p>
            <w:pPr>
              <w:pStyle w:val="Compact"/>
              <w:jc w:val="left"/>
            </w:pPr>
            <w:r>
              <w:t xml:space="preserve">20,679 (July 26 count, not re-verified)</w:t>
            </w:r>
          </w:p>
        </w:tc>
      </w:tr>
      <w:tr>
        <w:tc>
          <w:p>
            <w:pPr>
              <w:pStyle w:val="Compact"/>
              <w:jc w:val="left"/>
            </w:pPr>
            <w:r>
              <w:t xml:space="preserve">holding13f_normalized</w:t>
            </w:r>
          </w:p>
        </w:tc>
        <w:tc>
          <w:p>
            <w:pPr>
              <w:pStyle w:val="Compact"/>
              <w:jc w:val="left"/>
            </w:pPr>
            <w:r>
              <w:t xml:space="preserve">Track A/B/C + always-include holdings</w:t>
            </w:r>
          </w:p>
        </w:tc>
        <w:tc>
          <w:p>
            <w:pPr>
              <w:pStyle w:val="Compact"/>
              <w:jc w:val="left"/>
            </w:pPr>
            <w:r>
              <w:t xml:space="preserve">249,511 + Bridgewater’s Q3/Q4 2025 backfill from Sprint 4 (v11 Section 21.4)</w:t>
            </w:r>
          </w:p>
        </w:tc>
      </w:tr>
      <w:tr>
        <w:tc>
          <w:p>
            <w:pPr>
              <w:pStyle w:val="Compact"/>
              <w:jc w:val="left"/>
            </w:pPr>
            <w:r>
              <w:t xml:space="preserve">filing13f</w:t>
            </w:r>
          </w:p>
        </w:tc>
        <w:tc>
          <w:p>
            <w:pPr>
              <w:pStyle w:val="Compact"/>
              <w:jc w:val="left"/>
            </w:pPr>
            <w:r>
              <w:t xml:space="preserve">Filing metadata</w:t>
            </w:r>
          </w:p>
        </w:tc>
        <w:tc>
          <w:p>
            <w:pPr>
              <w:pStyle w:val="Compact"/>
              <w:jc w:val="left"/>
            </w:pPr>
            <w:r>
              <w:t xml:space="preserve">43,358 (July 26 count, not re-verified).</w:t>
            </w:r>
            <w:r>
              <w:t xml:space="preserve"> </w:t>
            </w:r>
            <w:r>
              <w:rPr>
                <w:b/>
              </w:rPr>
              <w:t xml:space="preserve">Documentation discrepancy found this sprint, unresolved:</w:t>
            </w:r>
            <w:r>
              <w:t xml:space="preserve"> </w:t>
            </w:r>
            <w:r>
              <w:t xml:space="preserve">v11 Section 4.3 lists idx_filing13f_cik as an existing live index, but worker-13f.js’s own code comments (dated 2026-07-05, referenced again during the August 12 13F search fix) state this table has no index on cik and that queries against it full-scan ~32K rows. Not independently verified against live D1 for this document — flagged rather than asserted either way; worth a direct EXPLAIN QUERY PLAN check before trusting either source.</w:t>
            </w:r>
          </w:p>
        </w:tc>
      </w:tr>
      <w:tr>
        <w:tc>
          <w:p>
            <w:pPr>
              <w:pStyle w:val="Compact"/>
              <w:jc w:val="left"/>
            </w:pPr>
            <w:r>
              <w:t xml:space="preserve">filing13f_other_managers</w:t>
            </w:r>
          </w:p>
        </w:tc>
        <w:tc>
          <w:p>
            <w:pPr>
              <w:pStyle w:val="Compact"/>
              <w:jc w:val="left"/>
            </w:pPr>
            <w:r>
              <w:t xml:space="preserve">Joint filer relationships</w:t>
            </w:r>
          </w:p>
        </w:tc>
        <w:tc>
          <w:p>
            <w:pPr>
              <w:pStyle w:val="Compact"/>
              <w:jc w:val="left"/>
            </w:pPr>
            <w:r>
              <w:t xml:space="preserve">33,822 (July 26 count, not re-verified)</w:t>
            </w:r>
          </w:p>
        </w:tc>
      </w:tr>
    </w:tbl>
    <w:p>
      <w:pPr>
        <w:pStyle w:val="Heading2"/>
      </w:pPr>
      <w:bookmarkStart w:id="28" w:name="filings-domain"/>
      <w:r>
        <w:rPr>
          <w:b/>
        </w:rPr>
        <w:t xml:space="preserve">3.4 Filings Domain</w:t>
      </w:r>
      <w:bookmarkEnd w:id="28"/>
    </w:p>
    <w:p>
      <w:pPr>
        <w:pStyle w:val="FirstParagraph"/>
      </w:pPr>
      <w:r>
        <w:rPr>
          <w:i/>
        </w:rPr>
        <w:t xml:space="preserve">Unchanged in row count this sprint.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Table</w:t>
            </w:r>
          </w:p>
        </w:tc>
        <w:tc>
          <w:tcPr>
            <w:tcBorders>
              <w:bottom w:val="single"/>
            </w:tcBorders>
            <w:vAlign w:val="bottom"/>
          </w:tcPr>
          <w:p>
            <w:pPr>
              <w:pStyle w:val="Compact"/>
              <w:jc w:val="left"/>
            </w:pPr>
            <w:r>
              <w:rPr>
                <w:b/>
              </w:rPr>
              <w:t xml:space="preserve">Purpose</w:t>
            </w:r>
          </w:p>
        </w:tc>
        <w:tc>
          <w:tcPr>
            <w:tcBorders>
              <w:bottom w:val="single"/>
            </w:tcBorders>
            <w:vAlign w:val="bottom"/>
          </w:tcPr>
          <w:p>
            <w:pPr>
              <w:pStyle w:val="Compact"/>
              <w:jc w:val="left"/>
            </w:pPr>
            <w:r>
              <w:rPr>
                <w:b/>
              </w:rPr>
              <w:t xml:space="preserve">Rows</w:t>
            </w:r>
          </w:p>
        </w:tc>
      </w:tr>
      <w:tr>
        <w:tc>
          <w:p>
            <w:pPr>
              <w:pStyle w:val="Compact"/>
              <w:jc w:val="left"/>
            </w:pPr>
            <w:r>
              <w:t xml:space="preserve">issuerfilingmaster</w:t>
            </w:r>
          </w:p>
        </w:tc>
        <w:tc>
          <w:p>
            <w:pPr>
              <w:pStyle w:val="Compact"/>
              <w:jc w:val="left"/>
            </w:pPr>
            <w:r>
              <w:t xml:space="preserve">10-K, 10-Q, 8-K</w:t>
            </w:r>
          </w:p>
        </w:tc>
        <w:tc>
          <w:p>
            <w:pPr>
              <w:pStyle w:val="Compact"/>
              <w:jc w:val="left"/>
            </w:pPr>
            <w:r>
              <w:t xml:space="preserve">75,110 (July 26 count, not re-verified)</w:t>
            </w:r>
          </w:p>
        </w:tc>
      </w:tr>
      <w:tr>
        <w:tc>
          <w:p>
            <w:pPr>
              <w:pStyle w:val="Compact"/>
              <w:jc w:val="left"/>
            </w:pPr>
            <w:r>
              <w:t xml:space="preserve">financialfact_reported</w:t>
            </w:r>
          </w:p>
        </w:tc>
        <w:tc>
          <w:p>
            <w:pPr>
              <w:pStyle w:val="Compact"/>
              <w:jc w:val="left"/>
            </w:pPr>
            <w:r>
              <w:t xml:space="preserve">Phase 1 (500 priority issuers) baseline, plus a large non-priority backfill</w:t>
            </w:r>
          </w:p>
        </w:tc>
        <w:tc>
          <w:p>
            <w:pPr>
              <w:pStyle w:val="Compact"/>
              <w:jc w:val="left"/>
            </w:pPr>
            <w:r>
              <w:rPr>
                <w:b/>
              </w:rPr>
              <w:t xml:space="preserve">Grew substantially this sprint via an automated backfill — see Section 22.3. Per the backfill script’s own cumulative batch log (not independently re-verified via a fresh live D1 count for this document): approximately 202,000 rows total (41,321 Phase-1 baseline + ~161,000 added across 15 real batches, 31 July–8 August), covering roughly 61% of the ~4,041-issuer non-priority pool as of the last logged batch.</w:t>
            </w:r>
          </w:p>
        </w:tc>
      </w:tr>
      <w:tr>
        <w:tc>
          <w:p>
            <w:pPr>
              <w:pStyle w:val="Compact"/>
              <w:jc w:val="left"/>
            </w:pPr>
            <w:r>
              <w:t xml:space="preserve">issuereventstream</w:t>
            </w:r>
          </w:p>
        </w:tc>
        <w:tc>
          <w:p>
            <w:pPr>
              <w:pStyle w:val="Compact"/>
              <w:jc w:val="left"/>
            </w:pPr>
            <w:r>
              <w:t xml:space="preserve">Material events</w:t>
            </w:r>
          </w:p>
        </w:tc>
        <w:tc>
          <w:p>
            <w:pPr>
              <w:pStyle w:val="Compact"/>
              <w:jc w:val="left"/>
            </w:pPr>
            <w:r>
              <w:t xml:space="preserve">49,564 (July 26 count, not re-verified)</w:t>
            </w:r>
          </w:p>
        </w:tc>
      </w:tr>
    </w:tbl>
    <w:p>
      <w:pPr>
        <w:pStyle w:val="Heading2"/>
      </w:pPr>
      <w:bookmarkStart w:id="29" w:name="precomputed-serving-tables"/>
      <w:r>
        <w:rPr>
          <w:b/>
        </w:rPr>
        <w:t xml:space="preserve">3.5 Precomputed Serving Tables</w:t>
      </w:r>
      <w:bookmarkEnd w:id="29"/>
    </w:p>
    <w:p>
      <w:pPr>
        <w:pStyle w:val="FirstParagraph"/>
      </w:pPr>
      <w:r>
        <w:rPr>
          <w:i/>
        </w:rPr>
        <w:t xml:space="preserve">Unchanged in row count this sprint — not a focus area.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Table</w:t>
            </w:r>
          </w:p>
        </w:tc>
        <w:tc>
          <w:tcPr>
            <w:tcBorders>
              <w:bottom w:val="single"/>
            </w:tcBorders>
            <w:vAlign w:val="bottom"/>
          </w:tcPr>
          <w:p>
            <w:pPr>
              <w:pStyle w:val="Compact"/>
              <w:jc w:val="left"/>
            </w:pPr>
            <w:r>
              <w:rPr>
                <w:b/>
              </w:rPr>
              <w:t xml:space="preserve">Purpose</w:t>
            </w:r>
          </w:p>
        </w:tc>
        <w:tc>
          <w:tcPr>
            <w:tcBorders>
              <w:bottom w:val="single"/>
            </w:tcBorders>
            <w:vAlign w:val="bottom"/>
          </w:tcPr>
          <w:p>
            <w:pPr>
              <w:pStyle w:val="Compact"/>
              <w:jc w:val="left"/>
            </w:pPr>
            <w:r>
              <w:rPr>
                <w:b/>
              </w:rPr>
              <w:t xml:space="preserve">Rows</w:t>
            </w:r>
          </w:p>
        </w:tc>
      </w:tr>
      <w:tr>
        <w:tc>
          <w:p>
            <w:pPr>
              <w:pStyle w:val="Compact"/>
              <w:jc w:val="left"/>
            </w:pPr>
            <w:r>
              <w:t xml:space="preserve">managerissuerpositionquarterly</w:t>
            </w:r>
          </w:p>
        </w:tc>
        <w:tc>
          <w:p>
            <w:pPr>
              <w:pStyle w:val="Compact"/>
              <w:jc w:val="left"/>
            </w:pPr>
            <w:r>
              <w:t xml:space="preserve">Q4/Q3/Q2 2025 complete; Q1 2025 backfill still pending (unchanged from v11)</w:t>
            </w:r>
          </w:p>
        </w:tc>
        <w:tc>
          <w:p>
            <w:pPr>
              <w:pStyle w:val="Compact"/>
              <w:jc w:val="left"/>
            </w:pPr>
            <w:r>
              <w:t xml:space="preserve">182,060 (July 26 count)</w:t>
            </w:r>
          </w:p>
        </w:tc>
      </w:tr>
      <w:tr>
        <w:tc>
          <w:p>
            <w:pPr>
              <w:pStyle w:val="Compact"/>
              <w:jc w:val="left"/>
            </w:pPr>
            <w:r>
              <w:t xml:space="preserve">issuerperiodsummary</w:t>
            </w:r>
          </w:p>
        </w:tc>
        <w:tc>
          <w:p>
            <w:pPr>
              <w:pStyle w:val="Compact"/>
              <w:jc w:val="left"/>
            </w:pPr>
            <w:r>
              <w:t xml:space="preserve">Latest annual + quarterly figure per issuer per XBRL tag</w:t>
            </w:r>
          </w:p>
        </w:tc>
        <w:tc>
          <w:p>
            <w:pPr>
              <w:pStyle w:val="Compact"/>
              <w:jc w:val="left"/>
            </w:pPr>
            <w:r>
              <w:t xml:space="preserve">7,041 (July 26 count)</w:t>
            </w:r>
          </w:p>
        </w:tc>
      </w:tr>
    </w:tbl>
    <w:p>
      <w:pPr>
        <w:pStyle w:val="Heading2"/>
      </w:pPr>
      <w:bookmarkStart w:id="30" w:name="local-only-never-uploaded-to-d1"/>
      <w:r>
        <w:rPr>
          <w:b/>
        </w:rPr>
        <w:t xml:space="preserve">3.6 Local-Only (Never Uploaded to D1)</w:t>
      </w:r>
      <w:bookmarkEnd w:id="30"/>
    </w:p>
    <w:p>
      <w:pPr>
        <w:pStyle w:val="FirstParagraph"/>
      </w:pPr>
      <w:r>
        <w:t xml:space="preserve">Unchanged from v11 — gleif_local.db, Mac only, Corporate Atlas/ folder.</w:t>
      </w:r>
    </w:p>
    <w:p>
      <w:pPr>
        <w:pStyle w:val="Heading1"/>
      </w:pPr>
      <w:bookmarkStart w:id="31" w:name="d1-indexes-full-inventory"/>
      <w:r>
        <w:rPr>
          <w:b/>
        </w:rPr>
        <w:t xml:space="preserve">4. D1 Indexes — Full Inventory</w:t>
      </w:r>
      <w:bookmarkEnd w:id="31"/>
    </w:p>
    <w:p>
      <w:pPr>
        <w:pStyle w:val="FirstParagraph"/>
      </w:pPr>
      <w:r>
        <w:rPr>
          <w:b/>
        </w:rPr>
        <w:t xml:space="preserve">59 total (58 carried forward from v11, plus 1 new partial composite index added this sprint).</w:t>
      </w:r>
    </w:p>
    <w:p>
      <w:pPr>
        <w:pStyle w:val="Heading2"/>
      </w:pPr>
      <w:bookmarkStart w:id="32" w:name="etf-domain"/>
      <w:r>
        <w:rPr>
          <w:b/>
        </w:rPr>
        <w:t xml:space="preserve">4.1 ETF Domain</w:t>
      </w:r>
      <w:bookmarkEnd w:id="32"/>
    </w:p>
    <w:p>
      <w:pPr>
        <w:pStyle w:val="FirstParagraph"/>
      </w:pPr>
      <w:r>
        <w:t xml:space="preserve">Unchanged from v11 — see prior version for the full 14-index list.</w:t>
      </w:r>
    </w:p>
    <w:p>
      <w:pPr>
        <w:pStyle w:val="Heading2"/>
      </w:pPr>
      <w:bookmarkStart w:id="33" w:name="entities-domain"/>
      <w:r>
        <w:rPr>
          <w:b/>
        </w:rPr>
        <w:t xml:space="preserve">4.2 Entities Domain</w:t>
      </w:r>
      <w:bookmarkEnd w:id="33"/>
    </w:p>
    <w:p>
      <w:pPr>
        <w:pStyle w:val="FirstParagraph"/>
      </w:pPr>
      <w:r>
        <w:t xml:space="preserve">Unchanged from v11’s 12-index list,</w:t>
      </w:r>
      <w:r>
        <w:t xml:space="preserve"> </w:t>
      </w:r>
      <w:r>
        <w:rPr>
          <w:b/>
        </w:rPr>
        <w:t xml:space="preserve">plus one new index added this sprint: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Table</w:t>
            </w:r>
          </w:p>
        </w:tc>
        <w:tc>
          <w:tcPr>
            <w:tcBorders>
              <w:bottom w:val="single"/>
            </w:tcBorders>
            <w:vAlign w:val="bottom"/>
          </w:tcPr>
          <w:p>
            <w:pPr>
              <w:pStyle w:val="Compact"/>
              <w:jc w:val="left"/>
            </w:pPr>
            <w:r>
              <w:rPr>
                <w:b/>
              </w:rPr>
              <w:t xml:space="preserve">Index</w:t>
            </w:r>
          </w:p>
        </w:tc>
        <w:tc>
          <w:tcPr>
            <w:tcBorders>
              <w:bottom w:val="single"/>
            </w:tcBorders>
            <w:vAlign w:val="bottom"/>
          </w:tcPr>
          <w:p>
            <w:pPr>
              <w:pStyle w:val="Compact"/>
              <w:jc w:val="left"/>
            </w:pPr>
            <w:r>
              <w:rPr>
                <w:b/>
              </w:rPr>
              <w:t xml:space="preserve">Columns</w:t>
            </w:r>
          </w:p>
        </w:tc>
      </w:tr>
      <w:tr>
        <w:tc>
          <w:p>
            <w:pPr>
              <w:pStyle w:val="Compact"/>
              <w:jc w:val="left"/>
            </w:pPr>
            <w:r>
              <w:t xml:space="preserve">entity_master</w:t>
            </w:r>
          </w:p>
        </w:tc>
        <w:tc>
          <w:p>
            <w:pPr>
              <w:pStyle w:val="Compact"/>
              <w:jc w:val="left"/>
            </w:pPr>
            <w:r>
              <w:t xml:space="preserve">idx_entity_master_phase3 (NEW, 5 August)</w:t>
            </w:r>
          </w:p>
        </w:tc>
        <w:tc>
          <w:p>
            <w:pPr>
              <w:pStyle w:val="Compact"/>
              <w:jc w:val="left"/>
            </w:pPr>
            <w:r>
              <w:t xml:space="preserve">Partial composite: (lei, type, lei_status, direct_parent_lei, ultimate_parent_lei, direct_parent_exception) WHERE lei IS NOT NULL — added to fix entities-enrich’s Phase 3 query, which was full-scanning entity_master (confirmed via EXPLAIN QUERY PLAN) despite 8 existing single-column indexes, none of which covered this compound WHERE clause. Verified via before/after EXPLAIN QUERY PLAN: plan changed from SCAN entity_master to SEARCH entity_master USING INDEX idx_entity_master_phase3.</w:t>
            </w:r>
          </w:p>
        </w:tc>
      </w:tr>
    </w:tbl>
    <w:p>
      <w:pPr>
        <w:pStyle w:val="Heading2"/>
      </w:pPr>
      <w:bookmarkStart w:id="34" w:name="f-filings-precomputed-serving-domains"/>
      <w:r>
        <w:rPr>
          <w:b/>
        </w:rPr>
        <w:t xml:space="preserve">4.3 13F, Filings &amp; Precomputed Serving Domains</w:t>
      </w:r>
      <w:bookmarkEnd w:id="34"/>
    </w:p>
    <w:p>
      <w:pPr>
        <w:pStyle w:val="FirstParagraph"/>
      </w:pPr>
      <w:r>
        <w:t xml:space="preserve">Unchanged from v11’s 10-index list —</w:t>
      </w:r>
      <w:r>
        <w:t xml:space="preserve"> </w:t>
      </w:r>
      <w:r>
        <w:rPr>
          <w:b/>
        </w:rPr>
        <w:t xml:space="preserve">but see Section 3.3’s flagged discrepancy regarding idx_filing13f_cik’s actual live status, and Section 22.6 for the new local-registry search query pattern this sprint added against filing13f (WHERE cik IN (…)), which would also benefit from that index if it is genuinely missing.</w:t>
      </w:r>
    </w:p>
    <w:p>
      <w:pPr>
        <w:pStyle w:val="Heading1"/>
      </w:pPr>
      <w:bookmarkStart w:id="35" w:name="non-negotiable-rules"/>
      <w:r>
        <w:rPr>
          <w:b/>
        </w:rPr>
        <w:t xml:space="preserve">5. Non-Negotiable Rules</w:t>
      </w:r>
      <w:bookmarkEnd w:id="35"/>
    </w:p>
    <w:p>
      <w:pPr>
        <w:pStyle w:val="FirstParagraph"/>
      </w:pPr>
      <w:r>
        <w:rPr>
          <w:i/>
        </w:rPr>
        <w:t xml:space="preserve">Sections 5 and 5.1 carried forward unchanged from v11 (see full text there) — Non-Negotiable Rules, Domain write isolation, D1 REST API parameter ceiling, Global function naming, Sprint 2/3 additions, and the Three-Point Check. New rules adopted this sprint below.</w:t>
      </w:r>
    </w:p>
    <w:p>
      <w:pPr>
        <w:pStyle w:val="Heading2"/>
      </w:pPr>
      <w:bookmarkStart w:id="36" w:name="august-sprint-additions"/>
      <w:r>
        <w:rPr>
          <w:b/>
        </w:rPr>
        <w:t xml:space="preserve">5.2 August Sprint Additions</w:t>
      </w:r>
      <w:bookmarkEnd w:id="36"/>
    </w:p>
    <w:p>
      <w:pPr>
        <w:numPr>
          <w:ilvl w:val="0"/>
          <w:numId w:val="1001"/>
        </w:numPr>
      </w:pPr>
      <w:r>
        <w:rPr>
          <w:b/>
        </w:rPr>
        <w:t xml:space="preserve">Write-budget checks are now uniformly headroom-based across all D1-writing pipelines</w:t>
      </w:r>
      <w:r>
        <w:t xml:space="preserve"> </w:t>
      </w:r>
      <w:r>
        <w:t xml:space="preserve">(checking actual remaining capacity before proceeding), not the older</w:t>
      </w:r>
      <w:r>
        <w:t xml:space="preserve"> </w:t>
      </w:r>
      <w:r>
        <w:t xml:space="preserve">“</w:t>
      </w:r>
      <w:r>
        <w:t xml:space="preserve">used ≥ threshold</w:t>
      </w:r>
      <w:r>
        <w:t xml:space="preserve">”</w:t>
      </w:r>
      <w:r>
        <w:t xml:space="preserve"> </w:t>
      </w:r>
      <w:r>
        <w:t xml:space="preserve">pattern some Workers still carried as of v11. Confirmed live on entities-seed.js (65,000 headroom), entities-enrich.js (5,000), entities-figi.js (10,000).</w:t>
      </w:r>
    </w:p>
    <w:p>
      <w:pPr>
        <w:numPr>
          <w:ilvl w:val="0"/>
          <w:numId w:val="1001"/>
        </w:numPr>
      </w:pPr>
      <w:r>
        <w:rPr>
          <w:b/>
        </w:rPr>
        <w:t xml:space="preserve">Every D1-writing pipeline now has both a kill switch (checkHold()/hold_all_jobs) and a mid-loop write checkpoint.</w:t>
      </w:r>
      <w:r>
        <w:t xml:space="preserve"> </w:t>
      </w:r>
      <w:r>
        <w:t xml:space="preserve">holdings-pipeline.js was the one pipeline missing checkHold() as of v11 — added 3 August. seed-financialfact.js (a standalone script, not a Worker) was the last pipeline without a mid-loop stop — added 6 August via a –write-cap arg tracking real per-batch rows_written.</w:t>
      </w:r>
    </w:p>
    <w:p>
      <w:pPr>
        <w:numPr>
          <w:ilvl w:val="0"/>
          <w:numId w:val="1001"/>
        </w:numPr>
      </w:pPr>
      <w:r>
        <w:rPr>
          <w:b/>
        </w:rPr>
        <w:t xml:space="preserve">The D1 write-multiplier model from v11 (</w:t>
      </w:r>
      <w:r>
        <w:rPr>
          <w:b/>
        </w:rPr>
        <w:t xml:space="preserve">“</w:t>
      </w:r>
      <w:r>
        <w:rPr>
          <w:b/>
        </w:rPr>
        <w:t xml:space="preserve">1 index = 2x writes, 2 indexes = 3x writes…</w:t>
      </w:r>
      <w:r>
        <w:rPr>
          <w:b/>
        </w:rPr>
        <w:t xml:space="preserve">”</w:t>
      </w:r>
      <w:r>
        <w:rPr>
          <w:b/>
        </w:rPr>
        <w:t xml:space="preserve">) is confirmed too simple on its own.</w:t>
      </w:r>
      <w:r>
        <w:t xml:space="preserve"> </w:t>
      </w:r>
      <w:r>
        <w:t xml:space="preserve">August’s financialfact_reported backfill observed a real multiplier range of 1.8x–4.3x across otherwise-similar batches, and the multiplier trended upward as the table itself grew — index count alone does not predict it. Standing practice adopted: check the actual Cloudflare dashboard/analytics figure after every batch rather than trust any fixed multiplier, even as a ceiling.</w:t>
      </w:r>
    </w:p>
    <w:p>
      <w:pPr>
        <w:numPr>
          <w:ilvl w:val="0"/>
          <w:numId w:val="1001"/>
        </w:numPr>
      </w:pPr>
      <w:r>
        <w:rPr>
          <w:b/>
        </w:rPr>
        <w:t xml:space="preserve">Standing credential-handling rule, adopted after the 4 August incident (Section 22.5):</w:t>
      </w:r>
      <w:r>
        <w:t xml:space="preserve"> </w:t>
      </w:r>
      <w:r>
        <w:t xml:space="preserve">real secrets/credentials are always typed directly into the Founder’s own terminal — never pasted into or relayed through any AI chat interface. Non-secret configuration (e.g. a plain URL) is fine to write directly; API tokens, passwords, and similar are not, regardless of how the request is framed.</w:t>
      </w:r>
    </w:p>
    <w:p>
      <w:pPr>
        <w:numPr>
          <w:ilvl w:val="0"/>
          <w:numId w:val="1001"/>
        </w:numPr>
      </w:pPr>
      <w:r>
        <w:rPr>
          <w:b/>
        </w:rPr>
        <w:t xml:space="preserve">Standing design principle for any new recurring automation, adopted 8 August:</w:t>
      </w:r>
      <w:r>
        <w:t xml:space="preserve"> </w:t>
      </w:r>
      <w:r>
        <w:t xml:space="preserve">no indefinitely-running background job without a built-in checkpoint — either a meaningful completion signal or a hard calendar date, whichever comes first, that triggers a distinct notification and a default-to-off self-disable rather than silent continuation. Applied to both the financialfact backfill’s completion flag and the health-check watchdog’s 29 August calendar checkpoint.</w:t>
      </w:r>
    </w:p>
    <w:p>
      <w:pPr>
        <w:numPr>
          <w:ilvl w:val="0"/>
          <w:numId w:val="1001"/>
        </w:numPr>
      </w:pPr>
      <w:r>
        <w:rPr>
          <w:b/>
        </w:rPr>
        <w:t xml:space="preserve">Cowork’s own sandboxed automation environment cannot reach Cloudflare’s API domains</w:t>
      </w:r>
      <w:r>
        <w:t xml:space="preserve"> </w:t>
      </w:r>
      <w:r>
        <w:t xml:space="preserve">(api.cloudflare.com, *.workers.dev) — confirmed via direct reproduction, not assumed. Any automation needing live Cloudflare/D1 access must run as a local macOS LaunchAgent (or equivalent), not a Cowork-hosted scheduled task.</w:t>
      </w:r>
    </w:p>
    <w:p>
      <w:pPr>
        <w:pStyle w:val="Heading1"/>
      </w:pPr>
      <w:bookmarkStart w:id="37" w:name="the-june-12-2026-incident"/>
      <w:r>
        <w:rPr>
          <w:b/>
        </w:rPr>
        <w:t xml:space="preserve">6. The June 12 2026 Incident</w:t>
      </w:r>
      <w:bookmarkEnd w:id="37"/>
    </w:p>
    <w:p>
      <w:pPr>
        <w:pStyle w:val="FirstParagraph"/>
      </w:pPr>
      <w:r>
        <w:rPr>
          <w:i/>
        </w:rPr>
        <w:t xml:space="preserve">(Carried forward from v11 — unchanged. See prior version for full text: fund_holdings_monthly security_name query with no index, 204 million reads in one morning, origin of the three-point check rule.)</w:t>
      </w:r>
    </w:p>
    <w:p>
      <w:pPr>
        <w:pStyle w:val="Heading1"/>
      </w:pPr>
      <w:bookmarkStart w:id="38" w:name="incidents-june-1319-2026-full-record"/>
      <w:r>
        <w:rPr>
          <w:b/>
        </w:rPr>
        <w:t xml:space="preserve">7. Incidents — June 13–19, 2026 — Full Record</w:t>
      </w:r>
      <w:bookmarkEnd w:id="38"/>
    </w:p>
    <w:p>
      <w:pPr>
        <w:pStyle w:val="FirstParagraph"/>
      </w:pPr>
      <w:r>
        <w:rPr>
          <w:i/>
        </w:rPr>
        <w:t xml:space="preserve">(Carried forward from v11 — unchanged. Covers the June 13 read-budget incident, the June 17 fund entity LEI corruption incident, the June 19 enrichment relationship lockout, and the June 21</w:t>
      </w:r>
      <w:r>
        <w:rPr>
          <w:i/>
        </w:rPr>
        <w:t xml:space="preserve"> </w:t>
      </w:r>
      <w:r>
        <w:rPr>
          <w:i/>
        </w:rPr>
        <w:t xml:space="preserve">“</w:t>
      </w:r>
      <w:r>
        <w:rPr>
          <w:i/>
        </w:rPr>
        <w:t xml:space="preserve">Phantom Stale Badge</w:t>
      </w:r>
      <w:r>
        <w:rPr>
          <w:i/>
        </w:rPr>
        <w:t xml:space="preserve">”</w:t>
      </w:r>
      <w:r>
        <w:rPr>
          <w:i/>
        </w:rPr>
        <w:t xml:space="preserve"> </w:t>
      </w:r>
      <w:r>
        <w:rPr>
          <w:i/>
        </w:rPr>
        <w:t xml:space="preserve">naming-collision bug. See prior version for full text.)</w:t>
      </w:r>
    </w:p>
    <w:p>
      <w:pPr>
        <w:pStyle w:val="Heading1"/>
      </w:pPr>
      <w:bookmarkStart w:id="39" w:name="module-etf-intelligence-layer"/>
      <w:r>
        <w:rPr>
          <w:b/>
        </w:rPr>
        <w:t xml:space="preserve">8. Module: ETF Intelligence Layer</w:t>
      </w:r>
      <w:bookmarkEnd w:id="39"/>
    </w:p>
    <w:p>
      <w:pPr>
        <w:pStyle w:val="FirstParagraph"/>
      </w:pPr>
      <w:r>
        <w:rPr>
          <w:i/>
        </w:rPr>
        <w:t xml:space="preserve">(Carried forward from v11 — unchanged. Covers Phase 3 ETF coverage gate status, known structural data gaps, and the D1 write guard.)</w:t>
      </w:r>
    </w:p>
    <w:p>
      <w:pPr>
        <w:pStyle w:val="Heading1"/>
      </w:pPr>
      <w:bookmarkStart w:id="40" w:name="Xde194f24ab36d8ffcf74d9d513b6e203399c490"/>
      <w:r>
        <w:rPr>
          <w:b/>
        </w:rPr>
        <w:t xml:space="preserve">9. Module: Corporate Atlas — Entity Identity Layer</w:t>
      </w:r>
      <w:bookmarkEnd w:id="40"/>
    </w:p>
    <w:p>
      <w:pPr>
        <w:pStyle w:val="FirstParagraph"/>
      </w:pPr>
      <w:r>
        <w:rPr>
          <w:i/>
        </w:rPr>
        <w:t xml:space="preserve">(Sections 9.1–9.6 carried forward from v11 — unchanged. Section 9.7, the Issuer Page, also carried forward unchanged as a historical record of its Sprint 3 build — its current OpenFIGI-adjacent extension, the Linked Instruments section, is new August Sprint work documented in Section 22.1, not a modification of the Issuer Page itself.)</w:t>
      </w:r>
    </w:p>
    <w:p>
      <w:pPr>
        <w:pStyle w:val="Heading1"/>
      </w:pPr>
      <w:bookmarkStart w:id="41" w:name="module-ops-visibility-dashboard"/>
      <w:r>
        <w:rPr>
          <w:b/>
        </w:rPr>
        <w:t xml:space="preserve">10. Module: Ops Visibility Dashboard</w:t>
      </w:r>
      <w:bookmarkEnd w:id="41"/>
    </w:p>
    <w:p>
      <w:pPr>
        <w:pStyle w:val="FirstParagraph"/>
      </w:pPr>
      <w:r>
        <w:rPr>
          <w:i/>
        </w:rPr>
        <w:t xml:space="preserve">(Carried forward from v11 with one addition: the Drift &amp; Budget tab gained a Live Cloudflare Metrics section this sprint — see Section 22.7. Everything else — the pipeline progress bar, write/read budget gauges, coverage depth breakdown, enrichment status, bootstrap progress, Worker status table — unchanged.)</w:t>
      </w:r>
    </w:p>
    <w:p>
      <w:pPr>
        <w:pStyle w:val="Heading1"/>
      </w:pPr>
      <w:bookmarkStart w:id="42" w:name="etf-module-detailed-changes-june-cycle"/>
      <w:r>
        <w:rPr>
          <w:b/>
        </w:rPr>
        <w:t xml:space="preserve">11. ETF Module — Detailed Changes (June Cycle)</w:t>
      </w:r>
      <w:bookmarkEnd w:id="42"/>
    </w:p>
    <w:p>
      <w:pPr>
        <w:pStyle w:val="FirstParagraph"/>
      </w:pPr>
      <w:r>
        <w:rPr>
          <w:i/>
        </w:rPr>
        <w:t xml:space="preserve">(Carried forward from v11 — unchanged historical record. ma-etf.js remains untouched through the August Sprint.)</w:t>
      </w:r>
    </w:p>
    <w:p>
      <w:pPr>
        <w:pStyle w:val="Heading1"/>
      </w:pPr>
      <w:bookmarkStart w:id="43" w:name="etf-pipeline-batch-size-history"/>
      <w:r>
        <w:rPr>
          <w:b/>
        </w:rPr>
        <w:t xml:space="preserve">12. ETF Pipeline Batch Size History</w:t>
      </w:r>
      <w:bookmarkEnd w:id="43"/>
    </w:p>
    <w:p>
      <w:pPr>
        <w:pStyle w:val="FirstParagraph"/>
      </w:pPr>
      <w:r>
        <w:rPr>
          <w:i/>
        </w:rPr>
        <w:t xml:space="preserve">(Carried forward from v11 — unchanged historical record.)</w:t>
      </w:r>
    </w:p>
    <w:p>
      <w:pPr>
        <w:pStyle w:val="Heading1"/>
      </w:pPr>
      <w:bookmarkStart w:id="44" w:name="asset-category-reference"/>
      <w:r>
        <w:rPr>
          <w:b/>
        </w:rPr>
        <w:t xml:space="preserve">13. Asset Category Reference</w:t>
      </w:r>
      <w:bookmarkEnd w:id="44"/>
    </w:p>
    <w:p>
      <w:pPr>
        <w:pStyle w:val="FirstParagraph"/>
      </w:pPr>
      <w:r>
        <w:rPr>
          <w:i/>
        </w:rPr>
        <w:t xml:space="preserve">(Carried forward from v11 — unchanged.)</w:t>
      </w:r>
    </w:p>
    <w:p>
      <w:pPr>
        <w:pStyle w:val="Heading1"/>
      </w:pPr>
      <w:bookmarkStart w:id="45" w:name="corporate-atlas-data-quality-detail"/>
      <w:r>
        <w:rPr>
          <w:b/>
        </w:rPr>
        <w:t xml:space="preserve">14. Corporate Atlas — Data Quality Detail</w:t>
      </w:r>
      <w:bookmarkEnd w:id="45"/>
    </w:p>
    <w:p>
      <w:pPr>
        <w:pStyle w:val="FirstParagraph"/>
      </w:pPr>
      <w:r>
        <w:rPr>
          <w:i/>
        </w:rPr>
        <w:t xml:space="preserve">(Sections 14.1–14.4 carried forward from v11 largely unchanged as historical record, with one live update: Section 14.3’s</w:t>
      </w:r>
      <w:r>
        <w:rPr>
          <w:i/>
        </w:rPr>
        <w:t xml:space="preserve"> </w:t>
      </w:r>
      <w:r>
        <w:rPr>
          <w:i/>
        </w:rPr>
        <w:t xml:space="preserve">“</w:t>
      </w:r>
      <w:r>
        <w:rPr>
          <w:i/>
        </w:rPr>
        <w:t xml:space="preserve">true coverage</w:t>
      </w:r>
      <w:r>
        <w:rPr>
          <w:i/>
        </w:rPr>
        <w:t xml:space="preserve">”</w:t>
      </w:r>
      <w:r>
        <w:rPr>
          <w:i/>
        </w:rPr>
        <w:t xml:space="preserve"> </w:t>
      </w:r>
      <w:r>
        <w:rPr>
          <w:i/>
        </w:rPr>
        <w:t xml:space="preserve">figure — 43.9% as of the June 21 baseline in v11 — is now 60.0% following this sprint’s OpenFIGI backfill. See Section 22.1 for full detail and Section 3.2 for the updated table figures.)</w:t>
      </w:r>
    </w:p>
    <w:p>
      <w:pPr>
        <w:pStyle w:val="Heading1"/>
      </w:pPr>
      <w:bookmarkStart w:id="46" w:name="deployment-record-github-pages"/>
      <w:r>
        <w:rPr>
          <w:b/>
        </w:rPr>
        <w:t xml:space="preserve">15. Deployment Record — GitHub Pages</w:t>
      </w:r>
      <w:bookmarkEnd w:id="46"/>
    </w:p>
    <w:p>
      <w:pPr>
        <w:pStyle w:val="FirstParagraph"/>
      </w:pPr>
      <w:r>
        <w:rPr>
          <w:i/>
        </w:rPr>
        <w:t xml:space="preserve">(Sections 15.1–15.7 carried forward from v11 as the historical record of the June 21 first deployment and the July 26 Sprint 2/3/4 push. See Section 22.9 for this sprint’s deployment-path finding — a second local checkout used for August’s in-session editing that is not the git source of truth for the live site — and the credential issue that blocked publishing twice this sprint.)</w:t>
      </w:r>
    </w:p>
    <w:p>
      <w:pPr>
        <w:pStyle w:val="Heading1"/>
      </w:pPr>
      <w:bookmarkStart w:id="47" w:name="module-13f-ownership-intelligence"/>
      <w:r>
        <w:rPr>
          <w:b/>
        </w:rPr>
        <w:t xml:space="preserve">16. Module: 13F / Ownership Intelligence</w:t>
      </w:r>
      <w:bookmarkEnd w:id="47"/>
    </w:p>
    <w:p>
      <w:pPr>
        <w:pStyle w:val="FirstParagraph"/>
      </w:pPr>
      <w:r>
        <w:rPr>
          <w:i/>
        </w:rPr>
        <w:t xml:space="preserve">(Sections 16.1–16.4 carried forward from v11 — unchanged: purpose, data tables, holdings scope (Track A/B/C, always-include, prime broker exclusion — permanent decision, unchanged), and backend routes. Section 16.5, frontend, updated: see Section 22.6 for this sprint’s search-resolution fix and the messaging change in ma-13f.js.)</w:t>
      </w:r>
    </w:p>
    <w:p>
      <w:pPr>
        <w:pStyle w:val="Heading1"/>
      </w:pPr>
      <w:bookmarkStart w:id="48" w:name="module-filings-issuer-intelligence"/>
      <w:r>
        <w:rPr>
          <w:b/>
        </w:rPr>
        <w:t xml:space="preserve">17. Module: Filings &amp; Issuer Intelligence</w:t>
      </w:r>
      <w:bookmarkEnd w:id="48"/>
    </w:p>
    <w:p>
      <w:pPr>
        <w:pStyle w:val="FirstParagraph"/>
      </w:pPr>
      <w:r>
        <w:rPr>
          <w:i/>
        </w:rPr>
        <w:t xml:space="preserve">(Carried forward from v11 — unchanged, except that Section 17.4’s backend (meridian-filings) gained one route this sprint, /api/issuer-filings — see Section 2.2 and Section 22.5.)</w:t>
      </w:r>
    </w:p>
    <w:p>
      <w:pPr>
        <w:pStyle w:val="Heading1"/>
      </w:pPr>
      <w:bookmarkStart w:id="49" w:name="sprint-record-july-sprint-2-3"/>
      <w:r>
        <w:rPr>
          <w:b/>
        </w:rPr>
        <w:t xml:space="preserve">18. Sprint Record — July Sprint 2 &amp; 3</w:t>
      </w:r>
      <w:bookmarkEnd w:id="49"/>
    </w:p>
    <w:p>
      <w:pPr>
        <w:pStyle w:val="FirstParagraph"/>
      </w:pPr>
      <w:r>
        <w:rPr>
          <w:i/>
        </w:rPr>
        <w:t xml:space="preserve">(Carried forward from v11 in full — unchanged historical record. See Section 22 below for the August Sprint’s own record, in the same style.)</w:t>
      </w:r>
    </w:p>
    <w:p>
      <w:pPr>
        <w:pStyle w:val="Heading1"/>
      </w:pPr>
      <w:bookmarkStart w:id="50" w:name="known-issues-outstanding-items"/>
      <w:r>
        <w:rPr>
          <w:b/>
        </w:rPr>
        <w:t xml:space="preserve">19. Known Issues / Outstanding Items</w:t>
      </w:r>
      <w:bookmarkEnd w:id="50"/>
    </w:p>
    <w:p>
      <w:pPr>
        <w:pStyle w:val="FirstParagraph"/>
      </w:pPr>
      <w:r>
        <w:rPr>
          <w:i/>
        </w:rPr>
        <w:t xml:space="preserve">Items 1–14 and 17–18 carried forward from v11 unchanged (see prior version for full text and detail). Items 5, 15, and 16 updated below to reflect August Sprint resolution. New items found this sprint are logged in Section 22.10 rather than renumbered into this table, to keep this table’s numbering stable across versions.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w:t>
            </w:r>
          </w:p>
        </w:tc>
        <w:tc>
          <w:tcPr>
            <w:tcBorders>
              <w:bottom w:val="single"/>
            </w:tcBorders>
            <w:vAlign w:val="bottom"/>
          </w:tcPr>
          <w:p>
            <w:pPr>
              <w:pStyle w:val="Compact"/>
              <w:jc w:val="left"/>
            </w:pPr>
            <w:r>
              <w:rPr>
                <w:b/>
              </w:rPr>
              <w:t xml:space="preserve">Item</w:t>
            </w:r>
          </w:p>
        </w:tc>
        <w:tc>
          <w:tcPr>
            <w:tcBorders>
              <w:bottom w:val="single"/>
            </w:tcBorders>
            <w:vAlign w:val="bottom"/>
          </w:tcPr>
          <w:p>
            <w:pPr>
              <w:pStyle w:val="Compact"/>
              <w:jc w:val="left"/>
            </w:pPr>
            <w:r>
              <w:rPr>
                <w:b/>
              </w:rPr>
              <w:t xml:space="preserve">Priority</w:t>
            </w:r>
          </w:p>
        </w:tc>
        <w:tc>
          <w:tcPr>
            <w:tcBorders>
              <w:bottom w:val="single"/>
            </w:tcBorders>
            <w:vAlign w:val="bottom"/>
          </w:tcPr>
          <w:p>
            <w:pPr>
              <w:pStyle w:val="Compact"/>
              <w:jc w:val="left"/>
            </w:pPr>
            <w:r>
              <w:rPr>
                <w:b/>
              </w:rPr>
              <w:t xml:space="preserve">State (updated August 12, 2026)</w:t>
            </w:r>
          </w:p>
        </w:tc>
      </w:tr>
      <w:tr>
        <w:tc>
          <w:p>
            <w:pPr>
              <w:pStyle w:val="Compact"/>
              <w:jc w:val="left"/>
            </w:pPr>
            <w:r>
              <w:t xml:space="preserve">5</w:t>
            </w:r>
          </w:p>
        </w:tc>
        <w:tc>
          <w:p>
            <w:pPr>
              <w:pStyle w:val="Compact"/>
              <w:jc w:val="left"/>
            </w:pPr>
            <w:r>
              <w:t xml:space="preserve">No automated alerting for write-guard triggers, repeated errors, or a stalled coverage gate</w:t>
            </w:r>
          </w:p>
        </w:tc>
        <w:tc>
          <w:p>
            <w:pPr>
              <w:pStyle w:val="Compact"/>
              <w:jc w:val="left"/>
            </w:pPr>
            <w:r>
              <w:t xml:space="preserve">High</w:t>
            </w:r>
          </w:p>
        </w:tc>
        <w:tc>
          <w:p>
            <w:pPr>
              <w:pStyle w:val="Compact"/>
              <w:jc w:val="left"/>
            </w:pPr>
            <w:r>
              <w:rPr>
                <w:b/>
              </w:rPr>
              <w:t xml:space="preserve">PARTIALLY ADDRESSED (8 August).</w:t>
            </w:r>
            <w:r>
              <w:t xml:space="preserve"> </w:t>
            </w:r>
            <w:r>
              <w:t xml:space="preserve">A lightweight local watchdog (check-pipeline-health.js) now checks hold_all_jobs and live D1 headroom daily, firing a native notification only when something needs attention. Deliberately scoped down from a full alerting system given the August close-out deadline, and self-checkpointing (disables itself after a 3-week calendar checkpoint or backfill completion, per the standing design principle in Section 5.2) rather than running indefinitely. Not a complete answer to this item — no alerting on the write-guard triggers or errors mentioned in the original item text, only on hold-state and headroom.</w:t>
            </w:r>
          </w:p>
        </w:tc>
      </w:tr>
      <w:tr>
        <w:tc>
          <w:p>
            <w:pPr>
              <w:pStyle w:val="Compact"/>
              <w:jc w:val="left"/>
            </w:pPr>
            <w:r>
              <w:t xml:space="preserve">15</w:t>
            </w:r>
          </w:p>
        </w:tc>
        <w:tc>
          <w:p>
            <w:pPr>
              <w:pStyle w:val="Compact"/>
              <w:jc w:val="left"/>
            </w:pPr>
            <w:r>
              <w:t xml:space="preserve">meridian-proxy carries 2 stale routes (/api/13f-search, /api/13f-filings) superseded by meridian-13f</w:t>
            </w:r>
          </w:p>
        </w:tc>
        <w:tc>
          <w:p>
            <w:pPr>
              <w:pStyle w:val="Compact"/>
              <w:jc w:val="left"/>
            </w:pPr>
            <w:r>
              <w:t xml:space="preserve">Low</w:t>
            </w:r>
          </w:p>
        </w:tc>
        <w:tc>
          <w:p>
            <w:pPr>
              <w:pStyle w:val="Compact"/>
              <w:jc w:val="left"/>
            </w:pPr>
            <w:r>
              <w:rPr>
                <w:b/>
              </w:rPr>
              <w:t xml:space="preserve">CLOSED, then caused a real regression, then re-CLOSED properly (5–10 August).</w:t>
            </w:r>
            <w:r>
              <w:t xml:space="preserve"> </w:t>
            </w:r>
            <w:r>
              <w:t xml:space="preserve">Removed 5 August along with 2 further routes — but the removal audit missed index.html’s own inline callers of 2 of the removed routes, breaking the live news feed, chart data, fundamentals, and SEC filings lookup for 5 days. Found and fixed 10 August — see Section 22.5.</w:t>
            </w:r>
          </w:p>
        </w:tc>
      </w:tr>
      <w:tr>
        <w:tc>
          <w:p>
            <w:pPr>
              <w:pStyle w:val="Compact"/>
              <w:jc w:val="left"/>
            </w:pPr>
            <w:r>
              <w:t xml:space="preserve">16</w:t>
            </w:r>
          </w:p>
        </w:tc>
        <w:tc>
          <w:p>
            <w:pPr>
              <w:pStyle w:val="Compact"/>
              <w:jc w:val="left"/>
            </w:pPr>
            <w:r>
              <w:t xml:space="preserve">meridian-holdings’ ALTER TABLE fund_holdings_monthly ADD COLUMN snapshot_status statement fires repeatedly</w:t>
            </w:r>
          </w:p>
        </w:tc>
        <w:tc>
          <w:p>
            <w:pPr>
              <w:pStyle w:val="Compact"/>
              <w:jc w:val="left"/>
            </w:pPr>
            <w:r>
              <w:t xml:space="preserve">Low</w:t>
            </w:r>
          </w:p>
        </w:tc>
        <w:tc>
          <w:p>
            <w:pPr>
              <w:pStyle w:val="Compact"/>
              <w:jc w:val="left"/>
            </w:pPr>
            <w:r>
              <w:rPr>
                <w:b/>
              </w:rPr>
              <w:t xml:space="preserve">CLOSED (8 August).</w:t>
            </w:r>
            <w:r>
              <w:t xml:space="preserve"> </w:t>
            </w:r>
            <w:r>
              <w:t xml:space="preserve">Root-caused and removed — the column was already tracked via a proper one-time migration; the runtime statement was pure redundant defensive code. See Section 2.2 and Section 22.5.</w:t>
            </w:r>
          </w:p>
        </w:tc>
      </w:tr>
    </w:tbl>
    <w:p>
      <w:pPr>
        <w:pStyle w:val="Heading1"/>
      </w:pPr>
      <w:bookmarkStart w:id="51" w:name="related-documents"/>
      <w:r>
        <w:rPr>
          <w:b/>
        </w:rPr>
        <w:t xml:space="preserve">20. Related Documents</w:t>
      </w:r>
      <w:bookmarkEnd w:id="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Document</w:t>
            </w:r>
          </w:p>
        </w:tc>
        <w:tc>
          <w:tcPr>
            <w:tcBorders>
              <w:bottom w:val="single"/>
            </w:tcBorders>
            <w:vAlign w:val="bottom"/>
          </w:tcPr>
          <w:p>
            <w:pPr>
              <w:pStyle w:val="Compact"/>
              <w:jc w:val="left"/>
            </w:pPr>
            <w:r>
              <w:rPr>
                <w:b/>
              </w:rPr>
              <w:t xml:space="preserve">Purpose</w:t>
            </w:r>
          </w:p>
        </w:tc>
      </w:tr>
      <w:tr>
        <w:tc>
          <w:p>
            <w:pPr>
              <w:pStyle w:val="Compact"/>
              <w:jc w:val="left"/>
            </w:pPr>
            <w:r>
              <w:t xml:space="preserve">Meridian_Atlas_Storage_Strategy_v1.docx</w:t>
            </w:r>
          </w:p>
        </w:tc>
        <w:tc>
          <w:p>
            <w:pPr>
              <w:pStyle w:val="Compact"/>
              <w:jc w:val="left"/>
            </w:pPr>
            <w:r>
              <w:t xml:space="preserve">D1 table classification rules, retention policy, growth estimation requirements</w:t>
            </w:r>
          </w:p>
        </w:tc>
      </w:tr>
      <w:tr>
        <w:tc>
          <w:p>
            <w:pPr>
              <w:pStyle w:val="Compact"/>
              <w:jc w:val="left"/>
            </w:pPr>
            <w:r>
              <w:t xml:space="preserve">corporate_atlas_v4_spec.md</w:t>
            </w:r>
          </w:p>
        </w:tc>
        <w:tc>
          <w:p>
            <w:pPr>
              <w:pStyle w:val="Compact"/>
              <w:jc w:val="left"/>
            </w:pPr>
            <w:r>
              <w:t xml:space="preserve">Full original build specification for the Corporate Atlas entity layer</w:t>
            </w:r>
          </w:p>
        </w:tc>
      </w:tr>
      <w:tr>
        <w:tc>
          <w:p>
            <w:pPr>
              <w:pStyle w:val="Compact"/>
              <w:jc w:val="left"/>
            </w:pPr>
            <w:r>
              <w:t xml:space="preserve">13F_Persistence_Execution_Plan_v3.md</w:t>
            </w:r>
          </w:p>
        </w:tc>
        <w:tc>
          <w:p>
            <w:pPr>
              <w:pStyle w:val="Compact"/>
              <w:jc w:val="left"/>
            </w:pPr>
            <w:r>
              <w:t xml:space="preserve">Baselined plan for the 13F data pipeline — executed in Sprint 2</w:t>
            </w:r>
          </w:p>
        </w:tc>
      </w:tr>
      <w:tr>
        <w:tc>
          <w:p>
            <w:pPr>
              <w:pStyle w:val="Compact"/>
              <w:jc w:val="left"/>
            </w:pPr>
            <w:r>
              <w:t xml:space="preserve">DEPLOYMENT_READINESS_2026-06-20.md</w:t>
            </w:r>
          </w:p>
        </w:tc>
        <w:tc>
          <w:p>
            <w:pPr>
              <w:pStyle w:val="Compact"/>
              <w:jc w:val="left"/>
            </w:pPr>
            <w:r>
              <w:t xml:space="preserve">Backend/operational readiness assessment</w:t>
            </w:r>
          </w:p>
        </w:tc>
      </w:tr>
      <w:tr>
        <w:tc>
          <w:p>
            <w:pPr>
              <w:pStyle w:val="Compact"/>
              <w:jc w:val="left"/>
            </w:pPr>
            <w:r>
              <w:t xml:space="preserve">GitHub_Pages_Deployment_Record_2026-06-21.md</w:t>
            </w:r>
          </w:p>
        </w:tc>
        <w:tc>
          <w:p>
            <w:pPr>
              <w:pStyle w:val="Compact"/>
              <w:jc w:val="left"/>
            </w:pPr>
            <w:r>
              <w:t xml:space="preserve">Full step-by-step record of the June 21, 2026 frontend deployment mechanics</w:t>
            </w:r>
          </w:p>
        </w:tc>
      </w:tr>
      <w:tr>
        <w:tc>
          <w:p>
            <w:pPr>
              <w:pStyle w:val="Compact"/>
              <w:jc w:val="left"/>
            </w:pPr>
            <w:r>
              <w:t xml:space="preserve">Meridian_Atlas_July_Sprint_Plan.md</w:t>
            </w:r>
          </w:p>
        </w:tc>
        <w:tc>
          <w:p>
            <w:pPr>
              <w:pStyle w:val="Compact"/>
              <w:jc w:val="left"/>
            </w:pPr>
            <w:r>
              <w:t xml:space="preserve">Full July Sprint 1-3 planning document</w:t>
            </w:r>
          </w:p>
        </w:tc>
      </w:tr>
      <w:tr>
        <w:tc>
          <w:p>
            <w:pPr>
              <w:pStyle w:val="Compact"/>
              <w:jc w:val="left"/>
            </w:pPr>
            <w:r>
              <w:rPr>
                <w:b/>
              </w:rPr>
              <w:t xml:space="preserve">Sprint_Board_August.html (NEW)</w:t>
            </w:r>
          </w:p>
        </w:tc>
        <w:tc>
          <w:p>
            <w:pPr>
              <w:pStyle w:val="Compact"/>
              <w:jc w:val="left"/>
            </w:pPr>
            <w:r>
              <w:rPr>
                <w:b/>
              </w:rPr>
              <w:t xml:space="preserve">Live ticket-level working record of the August Sprint (MA-AUG-001 through 006, plus FAST-FOLLOW items) — the primary source for Section 22 below. Regenerated manually through the sprint; closed out 12 August 2026.</w:t>
            </w:r>
          </w:p>
        </w:tc>
      </w:tr>
    </w:tbl>
    <w:p>
      <w:pPr>
        <w:pStyle w:val="Heading1"/>
      </w:pPr>
      <w:bookmarkStart w:id="52" w:name="X90f08ad9092d7ff524cc5cda342e287f52fa586"/>
      <w:r>
        <w:rPr>
          <w:b/>
        </w:rPr>
        <w:t xml:space="preserve">21. Sprint 4 Record — Verification, Data Integrity &amp; Operational Safety (July 24-26, 2026)</w:t>
      </w:r>
      <w:bookmarkEnd w:id="52"/>
    </w:p>
    <w:p>
      <w:pPr>
        <w:pStyle w:val="FirstParagraph"/>
      </w:pPr>
      <w:r>
        <w:rPr>
          <w:i/>
        </w:rPr>
        <w:t xml:space="preserve">(Carried forward from v11 in full — unchanged historical record. Covers the Issuer Panels Galaxy/Search wiring gap, the 13F Manager Search smart-routing fix, the Issuer CIK resolution chicken-and-egg fix, the Bridgewater Associates 13F data gap, the entity_master.cik name-matching backfill, the meridian-holdings D1 write-budget incident, and the entity_master duplicate-entity discovery. See prior version for full text — Section 21.7’s Danaher duplicate finding is directly relevant background for Section 22’s own duplicate-entity finding below.)</w:t>
      </w:r>
      <w:r>
        <w:t xml:space="preserve"> </w:t>
      </w:r>
      <w:r>
        <w:t xml:space="preserve">#</w:t>
      </w:r>
      <w:r>
        <w:t xml:space="preserve"> </w:t>
      </w:r>
      <w:r>
        <w:rPr>
          <w:b/>
        </w:rPr>
        <w:t xml:space="preserve">22. Sprint Record — August Sprint (July 27 – August 12, 2026)</w:t>
      </w:r>
    </w:p>
    <w:p>
      <w:pPr>
        <w:pStyle w:val="BodyText"/>
      </w:pPr>
      <w:r>
        <w:rPr>
          <w:i/>
        </w:rPr>
        <w:t xml:space="preserve">The August Sprint was deliberately run as a compressed mini-sprint rather than a full monthly cycle — the Founder set a hard internal target of closing the build backlog by Monday 10 August, later extended slightly to accommodate two product-testing fixes found during the Founder’s own hands-on use of the live app. Each item below was root-caused against actual code/data before being marked closed, in the same discipline established in Sprint 4 (Section 21).</w:t>
      </w:r>
    </w:p>
    <w:p>
      <w:pPr>
        <w:pStyle w:val="Heading2"/>
      </w:pPr>
      <w:bookmarkStart w:id="53" w:name="X8924a4c8aba4975f4811ec0cf45201974f549ef"/>
      <w:r>
        <w:rPr>
          <w:b/>
        </w:rPr>
        <w:t xml:space="preserve">22.1 MA-AUG-001 — OpenFIGI Entity-Resolution Upgrade (CLOSED) &amp; Linked Instruments UI</w:t>
      </w:r>
      <w:bookmarkEnd w:id="53"/>
    </w:p>
    <w:p>
      <w:pPr>
        <w:pStyle w:val="FirstParagraph"/>
      </w:pPr>
      <w:r>
        <w:rPr>
          <w:b/>
        </w:rPr>
        <w:t xml:space="preserve">Objective:</w:t>
      </w:r>
      <w:r>
        <w:t xml:space="preserve"> </w:t>
      </w:r>
      <w:r>
        <w:t xml:space="preserve">raise instrument-to-issuer resolution coverage beyond the 43.9% baseline (Section 14.3 / v11) using OpenFIGI as an additive identity-resolution layer.</w:t>
      </w:r>
    </w:p>
    <w:p>
      <w:pPr>
        <w:pStyle w:val="BodyText"/>
      </w:pPr>
      <w:r>
        <w:rPr>
          <w:b/>
        </w:rPr>
        <w:t xml:space="preserve">Result:</w:t>
      </w:r>
      <w:r>
        <w:t xml:space="preserve"> </w:t>
      </w:r>
      <w:r>
        <w:t xml:space="preserve">instrument_entity_map coverage raised from 43.9% to</w:t>
      </w:r>
      <w:r>
        <w:t xml:space="preserve"> </w:t>
      </w:r>
      <w:r>
        <w:rPr>
          <w:b/>
        </w:rPr>
        <w:t xml:space="preserve">60.0%</w:t>
      </w:r>
      <w:r>
        <w:t xml:space="preserve"> </w:t>
      </w:r>
      <w:r>
        <w:t xml:space="preserve">(23,963 → 32,769 of 54,562 instruments, +8,800 openfigi_tier1 rows). New Worker meridian-entities-figi built and deployed, no cron trigger (on-request only, given the account’s cron-slot ceiling). A new table, openfigicache (28,605 rows — every instrument ever considered, matched or not), was added mid-run to fix a real stuck-loop bug: the original unmapped-instruments query had no way to record</w:t>
      </w:r>
      <w:r>
        <w:t xml:space="preserve"> </w:t>
      </w:r>
      <w:r>
        <w:t xml:space="preserve">“</w:t>
      </w:r>
      <w:r>
        <w:t xml:space="preserve">asked OpenFIGI, didn’t resolve,</w:t>
      </w:r>
      <w:r>
        <w:t xml:space="preserve">”</w:t>
      </w:r>
      <w:r>
        <w:t xml:space="preserve"> </w:t>
      </w:r>
      <w:r>
        <w:t xml:space="preserve">so it kept re-querying the same exhausted batch indefinitely once the easy matches ran out.</w:t>
      </w:r>
    </w:p>
    <w:p>
      <w:pPr>
        <w:pStyle w:val="BodyText"/>
      </w:pPr>
      <w:r>
        <w:t xml:space="preserve">A separate re-match pass was run against the ~19,805 openfigicache-only candidates (instruments OpenFIGI matched to an issuer name with no corresponding entity_master row) using a corrected name-normalization function (see the CORP/CORPORATION fast-follow, carried forward from v11-era work). Result: only 6 new matches (0.03% yield) — confirms this remaining gap is mostly a genuine entity_master coverage ceiling, not a normalization artifact.</w:t>
      </w:r>
    </w:p>
    <w:p>
      <w:pPr>
        <w:pStyle w:val="BodyText"/>
      </w:pPr>
      <w:r>
        <w:rPr>
          <w:b/>
        </w:rPr>
        <w:t xml:space="preserve">Data-quality spot-check (6 August):</w:t>
      </w:r>
      <w:r>
        <w:t xml:space="preserve"> </w:t>
      </w:r>
      <w:r>
        <w:t xml:space="preserve">a random 30-row sample of openfigi_tier1 matches was pulled and manually compared name-to-name. 30/30 looked correct (same company modulo casing/punctuation). Match confidence remains a fixed placeholder (70) rather than a modeled score — a known, unaddressed limitation.</w:t>
      </w:r>
    </w:p>
    <w:p>
      <w:pPr>
        <w:pStyle w:val="BodyText"/>
      </w:pPr>
      <w:r>
        <w:rPr>
          <w:b/>
        </w:rPr>
        <w:t xml:space="preserve">Linked Instruments UI — built, then found inadequate, then redesigned:</w:t>
      </w:r>
    </w:p>
    <w:p>
      <w:pPr>
        <w:pStyle w:val="BodyText"/>
      </w:pPr>
      <w:r>
        <w:t xml:space="preserve">Founder testing (10 August) surfaced a real product gap: the OpenFIGI match data built above had</w:t>
      </w:r>
      <w:r>
        <w:t xml:space="preserve"> </w:t>
      </w:r>
      <w:r>
        <w:rPr>
          <w:b/>
        </w:rPr>
        <w:t xml:space="preserve">zero UI or API surface anywhere in the app</w:t>
      </w:r>
      <w:r>
        <w:t xml:space="preserve"> </w:t>
      </w:r>
      <w:r>
        <w:t xml:space="preserve">— nothing showed it, only direct D1 queries could see it. A first version was built same day: a new read-only route, /api/entities/:id/instruments, on meridian-entities-api, and a new</w:t>
      </w:r>
      <w:r>
        <w:t xml:space="preserve"> </w:t>
      </w:r>
      <w:r>
        <w:t xml:space="preserve">“</w:t>
      </w:r>
      <w:r>
        <w:t xml:space="preserve">Linked Instruments</w:t>
      </w:r>
      <w:r>
        <w:t xml:space="preserve">”</w:t>
      </w:r>
      <w:r>
        <w:t xml:space="preserve"> </w:t>
      </w:r>
      <w:r>
        <w:t xml:space="preserve">section on the entity detail page.</w:t>
      </w:r>
    </w:p>
    <w:p>
      <w:pPr>
        <w:pStyle w:val="BodyText"/>
      </w:pPr>
      <w:r>
        <w:t xml:space="preserve">That first version was tested by the Founder against Microsoft Corp (30 matched instruments) and Amazon.com Inc (42 matched instruments) and judged not useful in practice: every row showed the same company name repeated, distinguished only by a source-type badge (CUSIP/ISIN/Heuristic) — no way to tell 30-42 rows apart even though each represented a genuinely distinct instrument (e.g. different bond issuances for the same issuer). Root cause: the query only ever selected security_name/security_ticker/source/confidence, never the fields that actually distinguish one instrument from another (isin, cusip, asset_cat), even though all three were already present on instrument_master.</w:t>
      </w:r>
    </w:p>
    <w:p>
      <w:pPr>
        <w:pStyle w:val="BodyText"/>
      </w:pPr>
      <w:r>
        <w:rPr>
          <w:b/>
        </w:rPr>
        <w:t xml:space="preserve">Redesigned and re-verified (12 August):</w:t>
      </w:r>
      <w:r>
        <w:t xml:space="preserve"> </w:t>
      </w:r>
      <w:r>
        <w:t xml:space="preserve">each row now shows the real ISIN (falling back to CUSIP) on a second line under the company name, plus an asset-type tag, alongside the existing source badge; a</w:t>
      </w:r>
      <w:r>
        <w:t xml:space="preserve"> </w:t>
      </w:r>
      <w:r>
        <w:t xml:space="preserve">“</w:t>
      </w:r>
      <w:r>
        <w:t xml:space="preserve">show all N instruments</w:t>
      </w:r>
      <w:r>
        <w:t xml:space="preserve">”</w:t>
      </w:r>
      <w:r>
        <w:t xml:space="preserve"> </w:t>
      </w:r>
      <w:r>
        <w:t xml:space="preserve">expand pattern was added (top 10 shown initially), matching the existing ETF Exposure strip’s own convention. Deployed (meridian-entities-api version d161cac6) and re-verified live against both original example entities: Microsoft 30/30 rows now uniquely distinguishable, Amazon 42/42, zero rows fell back to</w:t>
      </w:r>
      <w:r>
        <w:t xml:space="preserve"> </w:t>
      </w:r>
      <w:r>
        <w:t xml:space="preserve">“</w:t>
      </w:r>
      <w:r>
        <w:t xml:space="preserve">no identifier on file</w:t>
      </w:r>
      <w:r>
        <w:t xml:space="preserve">”</w:t>
      </w:r>
      <w:r>
        <w:t xml:space="preserve"> </w:t>
      </w:r>
      <w:r>
        <w:t xml:space="preserve">for either.</w:t>
      </w:r>
    </w:p>
    <w:p>
      <w:pPr>
        <w:pStyle w:val="Heading2"/>
      </w:pPr>
      <w:bookmarkStart w:id="54" w:name="X63e556ac6d1d91aadcf78e163ec4895d79365f3"/>
      <w:r>
        <w:rPr>
          <w:b/>
        </w:rPr>
        <w:t xml:space="preserve">22.2 MA-AUG-002 — Entity Worker Reactivation (MOSTLY CLOSED — one thread genuinely unresolved)</w:t>
      </w:r>
      <w:bookmarkEnd w:id="54"/>
    </w:p>
    <w:p>
      <w:pPr>
        <w:pStyle w:val="FirstParagraph"/>
      </w:pPr>
      <w:r>
        <w:rPr>
          <w:b/>
        </w:rPr>
        <w:t xml:space="preserve">Objective:</w:t>
      </w:r>
      <w:r>
        <w:t xml:space="preserve"> </w:t>
      </w:r>
      <w:r>
        <w:t xml:space="preserve">safely re-enable meridian-entities-seed and meridian-entities-enrich, frozen since before v11.</w:t>
      </w:r>
    </w:p>
    <w:p>
      <w:pPr>
        <w:pStyle w:val="BodyText"/>
      </w:pPr>
      <w:r>
        <w:rPr>
          <w:b/>
        </w:rPr>
        <w:t xml:space="preserve">Result:</w:t>
      </w:r>
      <w:r>
        <w:t xml:space="preserve"> </w:t>
      </w:r>
      <w:r>
        <w:t xml:space="preserve">both re-enabled. entities-seed: weekly, Monday 04:00 UTC (deliberately one day after meridian-holdings’ Sunday cron, to avoid same-day write-cap stacking). entities-enrich: two daily triggers, 06:00 and 06:50 UTC (down from a legacy 72 invocations/day). Root cause of a prior multi-day verification blocker was found via live tail: seedIssuerEntities was hitting Cloudflare’s subrequest ceiling from N+1 per-row SELECT loops — fixed via bulk SELECT + in-memory lookup, plus a batch-size increase. All four pipeline steps completed successfully end-to-end for the first time as a result.</w:t>
      </w:r>
    </w:p>
    <w:p>
      <w:pPr>
        <w:pStyle w:val="BodyText"/>
      </w:pPr>
      <w:r>
        <w:rPr>
          <w:b/>
        </w:rPr>
        <w:t xml:space="preserve">Incident, 2 August (contained, root cause narrowed but not fully confirmed):</w:t>
      </w:r>
      <w:r>
        <w:t xml:space="preserve"> </w:t>
      </w:r>
      <w:r>
        <w:t xml:space="preserve">entities-seed fired a day early — Sunday 2 August, 04:00 UTC, instead of its registered Monday slot — consuming an estimated ~97,594 of that day’s 100,000-write cap in one invocation (this Worker’s own previous worst-case single run was ~61,400, so this also set a new high). hold_all_jobs was set as an immediate precaution. Three rounds of diagnostics ruled out a manual trigger, a query/tooling mistake, and a duplicate/shared cron across Workers — the live schedules API confirmed the registered trigger genuinely is Monday-only. Working hypothesis, unconfirmed: a Cloudflare-side scheduler quirk where the first run after a new trigger registration fires at the next wall-clock time-of-day regardless of day-of-week.</w:t>
      </w:r>
    </w:p>
    <w:p>
      <w:pPr>
        <w:pStyle w:val="BodyText"/>
      </w:pPr>
      <w:r>
        <w:rPr>
          <w:b/>
        </w:rPr>
        <w:t xml:space="preserve">Follow-up, 9 August:</w:t>
      </w:r>
      <w:r>
        <w:t xml:space="preserve"> </w:t>
      </w:r>
      <w:r>
        <w:t xml:space="preserve">entities-seed fired again via the identical pattern — Sunday 9 August, 04:00:56 UTC, to the exact second matching meridian-holdings’ own Sunday cron. This disproved the original</w:t>
      </w:r>
      <w:r>
        <w:t xml:space="preserve"> </w:t>
      </w:r>
      <w:r>
        <w:t xml:space="preserve">“</w:t>
      </w:r>
      <w:r>
        <w:t xml:space="preserve">one-time first-registration quirk</w:t>
      </w:r>
      <w:r>
        <w:t xml:space="preserve">”</w:t>
      </w:r>
      <w:r>
        <w:t xml:space="preserve"> </w:t>
      </w:r>
      <w:r>
        <w:t xml:space="preserve">theory (a second occurrence a week later isn’t consistent with a one-off). Cloudflare’s own invocation history confirms the registered Monday trigger has never actually fired (zero invocations on Monday 3 August) — both Sunday firings reached the pipeline via the /run HTTP endpoint, not the scheduled trigger, and no service-binding or cross-Worker fetch call was found in source that would explain the identical-second coincidence with meridian-holdings’ cron.</w:t>
      </w:r>
      <w:r>
        <w:t xml:space="preserve"> </w:t>
      </w:r>
      <w:r>
        <w:rPr>
          <w:b/>
        </w:rPr>
        <w:t xml:space="preserve">Genuinely unresolved</w:t>
      </w:r>
      <w:r>
        <w:t xml:space="preserve"> </w:t>
      </w:r>
      <w:r>
        <w:t xml:space="preserve">— pinning down the actual caller needs Cloudflare’s Workers Observability raw logs, which the current API token lacks scope to read (403); only the Founder can check this directly via the Cloudflare dashboard UI. Not a safety risk regardless of the answer — checkHold()/hold_all_jobs already covers this pipeline against any recurrence.</w:t>
      </w:r>
    </w:p>
    <w:p>
      <w:pPr>
        <w:pStyle w:val="BodyText"/>
      </w:pPr>
      <w:r>
        <w:rPr>
          <w:b/>
        </w:rPr>
        <w:t xml:space="preserve">Safety-net audit (3 August):</w:t>
      </w:r>
      <w:r>
        <w:t xml:space="preserve"> </w:t>
      </w:r>
      <w:r>
        <w:t xml:space="preserve">all 5 D1-writing pipelines checked for a kill switch and write-budget guard. holdings-pipeline.js was the one pipeline with neither a checkHold() call — added same day. entities-seed.js also had no checkHold() (a related but separate gap from the incident above) — added 2 August. See Section 5.2 for the resulting standing rule.</w:t>
      </w:r>
    </w:p>
    <w:p>
      <w:pPr>
        <w:pStyle w:val="Heading2"/>
      </w:pPr>
      <w:bookmarkStart w:id="55" w:name="X98d8a6a549d916fe5e4b7f8e7f2d7ae5b954e2a"/>
      <w:r>
        <w:rPr>
          <w:b/>
        </w:rPr>
        <w:t xml:space="preserve">22.3 MA-AUG-003 — financialfact_reported Backfill, Fully Automated</w:t>
      </w:r>
      <w:bookmarkEnd w:id="55"/>
    </w:p>
    <w:p>
      <w:pPr>
        <w:pStyle w:val="FirstParagraph"/>
      </w:pPr>
      <w:r>
        <w:rPr>
          <w:b/>
        </w:rPr>
        <w:t xml:space="preserve">Objective:</w:t>
      </w:r>
      <w:r>
        <w:t xml:space="preserve"> </w:t>
      </w:r>
      <w:r>
        <w:t xml:space="preserve">extend financialfact_reported past its original 500-issuer Phase 1 (carried forward from v11 Section 21.8, item 21.1) toward the remaining ~4,041-issuer pool.</w:t>
      </w:r>
    </w:p>
    <w:p>
      <w:pPr>
        <w:pStyle w:val="BodyText"/>
      </w:pPr>
      <w:r>
        <w:rPr>
          <w:b/>
        </w:rPr>
        <w:t xml:space="preserve">Result:</w:t>
      </w:r>
      <w:r>
        <w:t xml:space="preserve"> </w:t>
      </w:r>
      <w:r>
        <w:t xml:space="preserve">15 real batches run between 31 July and 8 August, manually sized at first then fully automated. Cumulative through batch 15: approximately 202,000 total rows (41,321 Phase-1 baseline + roughly 161,000 added), covering an estimated 61% of the non-priority pool — see Section 3.4’s honesty note on precision. The observed D1 write-multiplier for this table ranged 1.8x–4.3x across batches and trended upward as the table grew, informing the standing rule in Section 5.2.</w:t>
      </w:r>
    </w:p>
    <w:p>
      <w:pPr>
        <w:pStyle w:val="BodyText"/>
      </w:pPr>
      <w:r>
        <w:rPr>
          <w:b/>
        </w:rPr>
        <w:t xml:space="preserve">Automation, 6 August onward:</w:t>
      </w:r>
      <w:r>
        <w:t xml:space="preserve"> </w:t>
      </w:r>
      <w:r>
        <w:t xml:space="preserve">a –auto mode was added to the backfill script — persisted offset tracking in holdings_pipeline_state, a live headroom pre-check against the new meridian-ops D1-today route (skips cleanly if headroom is thin), dynamic write-cap sizing (never a fixed guess), and a self-terminating completion flag that every future run checks first. Wired to run daily via a local macOS LaunchAgent (not a Cowork-hosted scheduled task — see Section 5.2’s finding on Cowork’s sandbox network restriction) at 09:00, self-unloading on completion. A genuine bug was found and fixed along the way: the run’s own start timestamp was being persisted even on a run that skipped due to thin headroom, understating how</w:t>
      </w:r>
      <w:r>
        <w:t xml:space="preserve"> </w:t>
      </w:r>
      <w:r>
        <w:t xml:space="preserve">“</w:t>
      </w:r>
      <w:r>
        <w:t xml:space="preserve">zero-write</w:t>
      </w:r>
      <w:r>
        <w:t xml:space="preserve">”</w:t>
      </w:r>
      <w:r>
        <w:t xml:space="preserve"> </w:t>
      </w:r>
      <w:r>
        <w:t xml:space="preserve">a skip actually was — fixed by moving that write to after the headroom check passes.</w:t>
      </w:r>
    </w:p>
    <w:p>
      <w:pPr>
        <w:pStyle w:val="Heading2"/>
      </w:pPr>
      <w:bookmarkStart w:id="56" w:name="Xb3a2f11161ecafca45bde10250dad8a06c788dd"/>
      <w:r>
        <w:rPr>
          <w:b/>
        </w:rPr>
        <w:t xml:space="preserve">22.4 Entity_master Fund-Count Drift — Investigated, Root Mechanism Still Unconfirmed</w:t>
      </w:r>
      <w:bookmarkEnd w:id="56"/>
    </w:p>
    <w:p>
      <w:pPr>
        <w:pStyle w:val="FirstParagraph"/>
      </w:pPr>
      <w:r>
        <w:t xml:space="preserve">The 290-vs-264 fund-count drift noted informally since before v11 was investigated this sprint via a programmatic diff (not a guessed matching rule) against all 290 type=</w:t>
      </w:r>
      <w:r>
        <w:t xml:space="preserve">‘</w:t>
      </w:r>
      <w:r>
        <w:t xml:space="preserve">fund</w:t>
      </w:r>
      <w:r>
        <w:t xml:space="preserve">’</w:t>
      </w:r>
      <w:r>
        <w:t xml:space="preserve"> </w:t>
      </w:r>
      <w:r>
        <w:t xml:space="preserve">rows. Confirmed exactly 26 unmatched rows, and the original</w:t>
      </w:r>
      <w:r>
        <w:t xml:space="preserve"> </w:t>
      </w:r>
      <w:r>
        <w:t xml:space="preserve">“</w:t>
      </w:r>
      <w:r>
        <w:t xml:space="preserve">delisted ETFs / old normalization variants</w:t>
      </w:r>
      <w:r>
        <w:t xml:space="preserve">”</w:t>
      </w:r>
      <w:r>
        <w:t xml:space="preserve"> </w:t>
      </w:r>
      <w:r>
        <w:t xml:space="preserve">hypothesis was ruled out — none of the 26 names resemble anything ever in etf_master. They read like bond/structured-finance issuer names (credit-card ABS trusts, CMBS conduit trusts, a BDC, Spanish loan-securitization vehicles) that likely entered entity_master via fund_holdings_monthly (i.e. as instruments other ETFs hold) rather than as entities that were ever themselves ETFs. Likely mechanism: a classification heuristic that may once have been broader than today’s narrow Treasury/cash-fund scope — not confirmed, no fix applied (informational only, no current downstream dependency on the count being exact).</w:t>
      </w:r>
    </w:p>
    <w:p>
      <w:pPr>
        <w:pStyle w:val="Heading2"/>
      </w:pPr>
      <w:bookmarkStart w:id="57" w:name="ma-aug-004-operational-hardening-closed"/>
      <w:r>
        <w:rPr>
          <w:b/>
        </w:rPr>
        <w:t xml:space="preserve">22.5 MA-AUG-004 — Operational Hardening (CLOSED)</w:t>
      </w:r>
      <w:bookmarkEnd w:id="57"/>
    </w:p>
    <w:p>
      <w:pPr>
        <w:pStyle w:val="FirstParagraph"/>
      </w:pPr>
      <w:r>
        <w:rPr>
          <w:b/>
        </w:rPr>
        <w:t xml:space="preserve">Credential leak, found and remediated same day (4 August):</w:t>
      </w:r>
      <w:r>
        <w:t xml:space="preserve"> </w:t>
      </w:r>
      <w:r>
        <w:t xml:space="preserve">11 standalone seed scripts in the Corporate Atlas family were found with 2 live Cloudflare API tokens hardcoded in plaintext, committed and pushed to what was then a public GitHub repository. All 3 dashboard tokens were rotated by the Founder directly in the Cloudflare dashboard; all 11 files fixed to read from process.env.CF_API_TOKEN with a fail-fast guard. The repository was briefly set Private for containment, which silently broke GitHub Pages (Free-tier classic Pages requires Public) — caught via GitHub’s own UI message and reverted once the real credentials were already rotated, so the dead token values in git history carried no further live risk.</w:t>
      </w:r>
    </w:p>
    <w:p>
      <w:pPr>
        <w:pStyle w:val="BodyText"/>
      </w:pPr>
      <w:r>
        <w:rPr>
          <w:b/>
        </w:rPr>
        <w:t xml:space="preserve">Live regression found and fixed (5–10 August):</w:t>
      </w:r>
      <w:r>
        <w:t xml:space="preserve"> </w:t>
      </w:r>
      <w:r>
        <w:t xml:space="preserve">a 5 August stale-route removal on meridian-proxy (Known Issue #15, Section 19) was audited as covering</w:t>
      </w:r>
      <w:r>
        <w:t xml:space="preserve"> </w:t>
      </w:r>
      <w:r>
        <w:t xml:space="preserve">“</w:t>
      </w:r>
      <w:r>
        <w:t xml:space="preserve">the entire repo, not just the frontend</w:t>
      </w:r>
      <w:r>
        <w:t xml:space="preserve">”</w:t>
      </w:r>
      <w:r>
        <w:t xml:space="preserve"> </w:t>
      </w:r>
      <w:r>
        <w:t xml:space="preserve">— this was inaccurate. It checked the ma-*.js module files but missed index.html’s own inline</w:t>
      </w:r>
      <w:r>
        <w:t xml:space="preserve"> </w:t>
      </w:r>
      <w:r>
        <w:rPr>
          <w:rStyle w:val="VerbatimChar"/>
        </w:rPr>
        <w:t xml:space="preserve">&lt;script&gt;</w:t>
      </w:r>
      <w:r>
        <w:t xml:space="preserve"> </w:t>
      </w:r>
      <w:r>
        <w:t xml:space="preserve">block, which called 2 of the removed routes directly, breaking the live Yahoo news feed, chart data, fundamentals fetches, and the SEC filings research tab for 5 days before the Founder caught it during hands-on testing on 9 August. Fixed 10 August: a narrower ?url= route restored with a 2-host allowlist (more secure than the pre-5-August version, since the underlying proxy function’s broader unrestricted fallback stays unreachable through this param), and the SEC filings lookup properly completed its intended migration to meridian-filings rather than being restored as dead code.</w:t>
      </w:r>
    </w:p>
    <w:p>
      <w:pPr>
        <w:pStyle w:val="BodyText"/>
      </w:pPr>
      <w:r>
        <w:rPr>
          <w:b/>
        </w:rPr>
        <w:t xml:space="preserve">ALTER TABLE root cause (8 August):</w:t>
      </w:r>
      <w:r>
        <w:t xml:space="preserve"> </w:t>
      </w:r>
      <w:r>
        <w:t xml:space="preserve">meridian-holdings’ repeatedly-firing ALTER TABLE statement (Known Issue #16, Section 19) was found via direct code inspection to be pure redundant defensive code — the column was already tracked via a proper one-time migration. Removed.</w:t>
      </w:r>
    </w:p>
    <w:p>
      <w:pPr>
        <w:pStyle w:val="BodyText"/>
      </w:pPr>
      <w:r>
        <w:rPr>
          <w:b/>
        </w:rPr>
        <w:t xml:space="preserve">Lightweight alerting, scoped down and delivered (8 August):</w:t>
      </w:r>
      <w:r>
        <w:t xml:space="preserve"> </w:t>
      </w:r>
      <w:r>
        <w:t xml:space="preserve">with the original ticket’s second objective item (a structured health review pack) deliberately descoped given the closeout deadline, a minimal local watchdog was built instead — see Section 5.2 and Section 19 item 5’s updated status.</w:t>
      </w:r>
    </w:p>
    <w:p>
      <w:pPr>
        <w:pStyle w:val="BodyText"/>
      </w:pPr>
      <w:r>
        <w:rPr>
          <w:b/>
        </w:rPr>
        <w:t xml:space="preserve">Git-history credential scrub (8 August):</w:t>
      </w:r>
      <w:r>
        <w:t xml:space="preserve"> </w:t>
      </w:r>
      <w:r>
        <w:t xml:space="preserve">the two dead token values from the 4 August incident were removed from git history entirely via git filter-repo, scoped to the affected branches, with a full backup taken first and independent re-verification via a fresh clone post-push. corporate-atlas-v4-deploy-clean (the Pages-serving branch) was deliberately left untouched, having no shared ancestry with the affected commits.</w:t>
      </w:r>
    </w:p>
    <w:p>
      <w:pPr>
        <w:pStyle w:val="Heading2"/>
      </w:pPr>
      <w:bookmarkStart w:id="58" w:name="X57673ea1fb88bdd4de1a4a9a067853db42c3132"/>
      <w:r>
        <w:rPr>
          <w:b/>
        </w:rPr>
        <w:t xml:space="preserve">22.6 13F Manager Search Resolving to the Wrong CIK — FAST-FOLLOW, CLOSED (12 August)</w:t>
      </w:r>
      <w:bookmarkEnd w:id="58"/>
    </w:p>
    <w:p>
      <w:pPr>
        <w:pStyle w:val="FirstParagraph"/>
      </w:pPr>
      <w:r>
        <w:t xml:space="preserve">Found during Founder UAT: searching</w:t>
      </w:r>
      <w:r>
        <w:t xml:space="preserve"> </w:t>
      </w:r>
      <w:r>
        <w:t xml:space="preserve">“</w:t>
      </w:r>
      <w:r>
        <w:t xml:space="preserve">Appaloosa</w:t>
      </w:r>
      <w:r>
        <w:t xml:space="preserve">”</w:t>
      </w:r>
      <w:r>
        <w:t xml:space="preserve"> </w:t>
      </w:r>
      <w:r>
        <w:t xml:space="preserve">resolved to an unrelated filer’s CIK, with a blank identity and a misleading</w:t>
      </w:r>
      <w:r>
        <w:t xml:space="preserve"> </w:t>
      </w:r>
      <w:r>
        <w:t xml:space="preserve">“</w:t>
      </w:r>
      <w:r>
        <w:t xml:space="preserve">No 13F filings found for this manager</w:t>
      </w:r>
      <w:r>
        <w:t xml:space="preserve">”</w:t>
      </w:r>
      <w:r>
        <w:t xml:space="preserve"> </w:t>
      </w:r>
      <w:r>
        <w:t xml:space="preserve">message shown for a firm with a genuine, active 13F history.</w:t>
      </w:r>
    </w:p>
    <w:p>
      <w:pPr>
        <w:pStyle w:val="BodyText"/>
      </w:pPr>
      <w:r>
        <w:rPr>
          <w:b/>
        </w:rPr>
        <w:t xml:space="preserve">Root cause:</w:t>
      </w:r>
      <w:r>
        <w:t xml:space="preserve"> </w:t>
      </w:r>
      <w:r>
        <w:t xml:space="preserve">/api/13f-search resolved manager names purely via SEC’s EFTS full-text</w:t>
      </w:r>
      <w:r>
        <w:t xml:space="preserve"> </w:t>
      </w:r>
      <w:r>
        <w:rPr>
          <w:i/>
        </w:rPr>
        <w:t xml:space="preserve">document</w:t>
      </w:r>
      <w:r>
        <w:t xml:space="preserve"> </w:t>
      </w:r>
      <w:r>
        <w:t xml:space="preserve">search, which ranks by filing-text relevance, not company-name match. Confirmed systemic via an 8-name spot check — roughly 1 in 3 well-known manager names mis-resolved (Bridgewater and Point72 also affected, to an unrelated filer and a foreign shell subsidiary respectively).</w:t>
      </w:r>
    </w:p>
    <w:p>
      <w:pPr>
        <w:pStyle w:val="BodyText"/>
      </w:pPr>
      <w:r>
        <w:rPr>
          <w:b/>
        </w:rPr>
        <w:t xml:space="preserve">Fix:</w:t>
      </w:r>
      <w:r>
        <w:t xml:space="preserve"> </w:t>
      </w:r>
      <w:r>
        <w:t xml:space="preserve">/api/13f-search now checks Meridian’s own managermaster/manageraliases registry first via ranked name matching, falling back to SEC EFTS only for names genuinely absent from the registry. An AUM tiebreak (filing13f.value_total) replaced an initial shortest-name tiebreak that had backfired on manager families with several name-alike entities. The empty-state messaging in ma-13f.js was also fixed to distinguish a genuine</w:t>
      </w:r>
      <w:r>
        <w:t xml:space="preserve"> </w:t>
      </w:r>
      <w:r>
        <w:t xml:space="preserve">“</w:t>
      </w:r>
      <w:r>
        <w:t xml:space="preserve">manager on record, zero filings</w:t>
      </w:r>
      <w:r>
        <w:t xml:space="preserve">”</w:t>
      </w:r>
      <w:r>
        <w:t xml:space="preserve"> </w:t>
      </w:r>
      <w:r>
        <w:t xml:space="preserve">case from a</w:t>
      </w:r>
      <w:r>
        <w:t xml:space="preserve"> </w:t>
      </w:r>
      <w:r>
        <w:t xml:space="preserve">“</w:t>
      </w:r>
      <w:r>
        <w:t xml:space="preserve">CIK not in the registry — likely a search mismatch</w:t>
      </w:r>
      <w:r>
        <w:t xml:space="preserve">”</w:t>
      </w:r>
      <w:r>
        <w:t xml:space="preserve"> </w:t>
      </w:r>
      <w:r>
        <w:t xml:space="preserve">case.</w:t>
      </w:r>
    </w:p>
    <w:p>
      <w:pPr>
        <w:pStyle w:val="BodyText"/>
      </w:pPr>
      <w:r>
        <w:rPr>
          <w:b/>
        </w:rPr>
        <w:t xml:space="preserve">Verified live</w:t>
      </w:r>
      <w:r>
        <w:t xml:space="preserve"> </w:t>
      </w:r>
      <w:r>
        <w:t xml:space="preserve">across 9+ manager names including the original Appaloosa case, with Elliott re-checked as a regression guard (now resolves to a more current CIK for the same real entity, not a regression).</w:t>
      </w:r>
    </w:p>
    <w:p>
      <w:pPr>
        <w:pStyle w:val="Heading2"/>
      </w:pPr>
      <w:bookmarkStart w:id="59" w:name="Xe563acbfeae32da749b05b3ad4a641eb223c713"/>
      <w:r>
        <w:rPr>
          <w:b/>
        </w:rPr>
        <w:t xml:space="preserve">22.7 MA-AUG-006 — Live Cloudflare Metrics in the Ops Dashboard (CLOSED)</w:t>
      </w:r>
      <w:bookmarkEnd w:id="59"/>
    </w:p>
    <w:p>
      <w:pPr>
        <w:pStyle w:val="FirstParagraph"/>
      </w:pPr>
      <w:r>
        <w:t xml:space="preserve">Built to productionize the manual Cloudflare GraphQL Analytics queries that had been run by hand throughout the 2 August incident. OpenTelemetry export was investigated and ruled out (requires a Workers Paid plan, and doesn’t cover D1 metrics even there). Delivered instead as two new on-request routes on a new Worker, meridian-ops: invocation history cross-validation and account-wide D1 read/write totals, surfaced in the existing Ops dashboard’s Drift &amp; Budget tab alongside (not replacing) the app’s own self-reported counter, since the two are known to be able to diverge. Zero new D1 tables, zero new cron triggers, zero write-budget impact.</w:t>
      </w:r>
    </w:p>
    <w:p>
      <w:pPr>
        <w:pStyle w:val="Heading2"/>
      </w:pPr>
      <w:bookmarkStart w:id="60" w:name="X9ef13c5cc31b08b3b235738006c72bab4963f6f"/>
      <w:r>
        <w:rPr>
          <w:b/>
        </w:rPr>
        <w:t xml:space="preserve">22.8 Deployment Model Clarification — Two Local Checkouts (found this sprint)</w:t>
      </w:r>
      <w:bookmarkEnd w:id="60"/>
    </w:p>
    <w:p>
      <w:pPr>
        <w:pStyle w:val="FirstParagraph"/>
      </w:pPr>
      <w:r>
        <w:t xml:space="preserve">A real operational finding, worth carrying forward as current-state fact rather than leaving implicit:</w:t>
      </w:r>
      <w:r>
        <w:t xml:space="preserve"> </w:t>
      </w:r>
      <w:r>
        <w:rPr>
          <w:b/>
        </w:rPr>
        <w:t xml:space="preserve">August Sprint editing happened in a local folder, Meridian Atlas Clean (v11), that is not the git source of truth for the live site.</w:t>
      </w:r>
      <w:r>
        <w:t xml:space="preserve"> </w:t>
      </w:r>
      <w:r>
        <w:t xml:space="preserve">The live site actually publishes from a separate local checkout, June Refresh/ (branch corporate-atlas-v4-deploy-clean — the same branch and location described in v11 Section 15.4/15.6), confirmed by diffing the live site’s served JS byte-for-byte against that checkout. This split blocked publishing twice this sprint (the Linked Instruments redesign and the 13F search fix both sat as unpushed local commits in June Refresh/ for a period, blocked by an expired GitHub credential in that checkout’s git config) before being resolved with a fresh personal access token. Backend Worker deploys (wrangler) are unaffected by this split — they deploy directly regardless of git/GitHub state, as already noted in v11 Section 15.5’s footnote.</w:t>
      </w:r>
      <w:r>
        <w:t xml:space="preserve"> </w:t>
      </w:r>
      <w:r>
        <w:rPr>
          <w:b/>
        </w:rPr>
        <w:t xml:space="preserve">Any future frontend change made in Meridian Atlas Clean (v11) needs a manual copy into June Refresh/, commit, and push before it reaches the live site</w:t>
      </w:r>
      <w:r>
        <w:t xml:space="preserve"> </w:t>
      </w:r>
      <w:r>
        <w:t xml:space="preserve">— this is not automatic, and was a real source of</w:t>
      </w:r>
      <w:r>
        <w:t xml:space="preserve"> </w:t>
      </w:r>
      <w:r>
        <w:t xml:space="preserve">“</w:t>
      </w:r>
      <w:r>
        <w:t xml:space="preserve">the fix isn’t live yet</w:t>
      </w:r>
      <w:r>
        <w:t xml:space="preserve">”</w:t>
      </w:r>
      <w:r>
        <w:t xml:space="preserve"> </w:t>
      </w:r>
      <w:r>
        <w:t xml:space="preserve">confusion this sprint.</w:t>
      </w:r>
    </w:p>
    <w:p>
      <w:pPr>
        <w:pStyle w:val="Heading2"/>
      </w:pPr>
      <w:bookmarkStart w:id="61" w:name="sprint-status"/>
      <w:r>
        <w:rPr>
          <w:b/>
        </w:rPr>
        <w:t xml:space="preserve">22.9 Sprint Status</w:t>
      </w:r>
      <w:bookmarkEnd w:id="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Sprint</w:t>
            </w:r>
          </w:p>
        </w:tc>
        <w:tc>
          <w:tcPr>
            <w:tcBorders>
              <w:bottom w:val="single"/>
            </w:tcBorders>
            <w:vAlign w:val="bottom"/>
          </w:tcPr>
          <w:p>
            <w:pPr>
              <w:pStyle w:val="Compact"/>
              <w:jc w:val="left"/>
            </w:pPr>
            <w:r>
              <w:rPr>
                <w:b/>
              </w:rPr>
              <w:t xml:space="preserve">Dates</w:t>
            </w:r>
          </w:p>
        </w:tc>
        <w:tc>
          <w:tcPr>
            <w:tcBorders>
              <w:bottom w:val="single"/>
            </w:tcBorders>
            <w:vAlign w:val="bottom"/>
          </w:tcPr>
          <w:p>
            <w:pPr>
              <w:pStyle w:val="Compact"/>
              <w:jc w:val="left"/>
            </w:pPr>
            <w:r>
              <w:rPr>
                <w:b/>
              </w:rPr>
              <w:t xml:space="preserve">Status</w:t>
            </w:r>
          </w:p>
        </w:tc>
      </w:tr>
      <w:tr>
        <w:tc>
          <w:p>
            <w:pPr>
              <w:pStyle w:val="Compact"/>
              <w:jc w:val="left"/>
            </w:pPr>
            <w:r>
              <w:t xml:space="preserve">August Sprint</w:t>
            </w:r>
          </w:p>
        </w:tc>
        <w:tc>
          <w:p>
            <w:pPr>
              <w:pStyle w:val="Compact"/>
              <w:jc w:val="left"/>
            </w:pPr>
            <w:r>
              <w:t xml:space="preserve">July 27 – August 12, 2026</w:t>
            </w:r>
          </w:p>
        </w:tc>
        <w:tc>
          <w:p>
            <w:pPr>
              <w:pStyle w:val="Compact"/>
              <w:jc w:val="left"/>
            </w:pPr>
            <w:r>
              <w:rPr>
                <w:b/>
              </w:rPr>
              <w:t xml:space="preserve">CLOSED.</w:t>
            </w:r>
            <w:r>
              <w:t xml:space="preserve"> </w:t>
            </w:r>
            <w:r>
              <w:t xml:space="preserve">MA-AUG-001 (OpenFIGI resolution + Linked Instruments UI), MA-AUG-003 (financialfact backfill automation), MA-AUG-004 (operational hardening), and MA-AUG-006 (live Cloudflare metrics) all closed. MA-AUG-002 (entity worker reactivation) closed for all practical/safety purposes, with one root-cause thread (the Sunday /run trigger source) genuinely unresolved pending the Founder’s own Cloudflare dashboard access. The 13F manager search fast-follow, found via the Founder’s own product testing rather than pre-planned scope, was also closed within the sprint window.</w:t>
            </w:r>
          </w:p>
        </w:tc>
      </w:tr>
    </w:tbl>
    <w:p>
      <w:pPr>
        <w:pStyle w:val="Heading2"/>
      </w:pPr>
      <w:bookmarkStart w:id="62" w:name="known-issues-carried-into-next-sprint"/>
      <w:r>
        <w:rPr>
          <w:b/>
        </w:rPr>
        <w:t xml:space="preserve">22.10 Known Issues Carried Into Next Sprint</w:t>
      </w:r>
      <w:bookmarkEnd w:id="6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w:t>
            </w:r>
          </w:p>
        </w:tc>
        <w:tc>
          <w:tcPr>
            <w:tcBorders>
              <w:bottom w:val="single"/>
            </w:tcBorders>
            <w:vAlign w:val="bottom"/>
          </w:tcPr>
          <w:p>
            <w:pPr>
              <w:pStyle w:val="Compact"/>
              <w:jc w:val="left"/>
            </w:pPr>
            <w:r>
              <w:rPr>
                <w:b/>
              </w:rPr>
              <w:t xml:space="preserve">Item</w:t>
            </w:r>
          </w:p>
        </w:tc>
        <w:tc>
          <w:tcPr>
            <w:tcBorders>
              <w:bottom w:val="single"/>
            </w:tcBorders>
            <w:vAlign w:val="bottom"/>
          </w:tcPr>
          <w:p>
            <w:pPr>
              <w:pStyle w:val="Compact"/>
              <w:jc w:val="left"/>
            </w:pPr>
            <w:r>
              <w:rPr>
                <w:b/>
              </w:rPr>
              <w:t xml:space="preserve">Priority</w:t>
            </w:r>
          </w:p>
        </w:tc>
        <w:tc>
          <w:tcPr>
            <w:tcBorders>
              <w:bottom w:val="single"/>
            </w:tcBorders>
            <w:vAlign w:val="bottom"/>
          </w:tcPr>
          <w:p>
            <w:pPr>
              <w:pStyle w:val="Compact"/>
              <w:jc w:val="left"/>
            </w:pPr>
            <w:r>
              <w:rPr>
                <w:b/>
              </w:rPr>
              <w:t xml:space="preserve">State</w:t>
            </w:r>
          </w:p>
        </w:tc>
      </w:tr>
      <w:tr>
        <w:tc>
          <w:p>
            <w:pPr>
              <w:pStyle w:val="Compact"/>
              <w:jc w:val="left"/>
            </w:pPr>
            <w:r>
              <w:t xml:space="preserve">22.1</w:t>
            </w:r>
          </w:p>
        </w:tc>
        <w:tc>
          <w:p>
            <w:pPr>
              <w:pStyle w:val="Compact"/>
              <w:jc w:val="left"/>
            </w:pPr>
            <w:r>
              <w:t xml:space="preserve">entities-seed’s Sunday /run-endpoint firings (2 and 9 August) — root cause unidentified, coincident to the second with meridian-holdings’ own cron</w:t>
            </w:r>
          </w:p>
        </w:tc>
        <w:tc>
          <w:p>
            <w:pPr>
              <w:pStyle w:val="Compact"/>
              <w:jc w:val="left"/>
            </w:pPr>
            <w:r>
              <w:t xml:space="preserve">Medium</w:t>
            </w:r>
          </w:p>
        </w:tc>
        <w:tc>
          <w:p>
            <w:pPr>
              <w:pStyle w:val="Compact"/>
              <w:jc w:val="left"/>
            </w:pPr>
            <w:r>
              <w:t xml:space="preserve">OPEN — not a safety risk (checkHold() covers it), but the mechanism is unexplained. Needs the Founder to check Cloudflare’s Workers Observability logs directly via the dashboard UI (API token lacks scope).</w:t>
            </w:r>
          </w:p>
        </w:tc>
      </w:tr>
      <w:tr>
        <w:tc>
          <w:p>
            <w:pPr>
              <w:pStyle w:val="Compact"/>
              <w:jc w:val="left"/>
            </w:pPr>
            <w:r>
              <w:t xml:space="preserve">22.2</w:t>
            </w:r>
          </w:p>
        </w:tc>
        <w:tc>
          <w:p>
            <w:pPr>
              <w:pStyle w:val="Compact"/>
              <w:jc w:val="left"/>
            </w:pPr>
            <w:r>
              <w:t xml:space="preserve">filing13f has no index on cik per worker-13f.js’s own code comments, contradicting v11 Section 4.3’s inventory, which lists idx_filing13f_cik as existing</w:t>
            </w:r>
          </w:p>
        </w:tc>
        <w:tc>
          <w:p>
            <w:pPr>
              <w:pStyle w:val="Compact"/>
              <w:jc w:val="left"/>
            </w:pPr>
            <w:r>
              <w:t xml:space="preserve">Low</w:t>
            </w:r>
          </w:p>
        </w:tc>
        <w:tc>
          <w:p>
            <w:pPr>
              <w:pStyle w:val="Compact"/>
              <w:jc w:val="left"/>
            </w:pPr>
            <w:r>
              <w:t xml:space="preserve">OPEN — documentation discrepancy, not independently verified against live D1 for this document. The August 12 13F search fix’s new local-registry query now hits this column more frequently than before (every search, not just the manager-page fallback), raising the value of resolving this.</w:t>
            </w:r>
          </w:p>
        </w:tc>
      </w:tr>
      <w:tr>
        <w:tc>
          <w:p>
            <w:pPr>
              <w:pStyle w:val="Compact"/>
              <w:jc w:val="left"/>
            </w:pPr>
            <w:r>
              <w:t xml:space="preserve">22.3</w:t>
            </w:r>
          </w:p>
        </w:tc>
        <w:tc>
          <w:p>
            <w:pPr>
              <w:pStyle w:val="Compact"/>
              <w:jc w:val="left"/>
            </w:pPr>
            <w:r>
              <w:t xml:space="preserve">Duplicate entity_master rows for the same real-world company beyond the Danaher case in v11 Section 21.7 (CureVac NV/N.V., Jai Corp Ltd/JAI CORP LIMITED confirmed; full scope unknown)</w:t>
            </w:r>
          </w:p>
        </w:tc>
        <w:tc>
          <w:p>
            <w:pPr>
              <w:pStyle w:val="Compact"/>
              <w:jc w:val="left"/>
            </w:pPr>
            <w:r>
              <w:t xml:space="preserve">Medium</w:t>
            </w:r>
          </w:p>
        </w:tc>
        <w:tc>
          <w:p>
            <w:pPr>
              <w:pStyle w:val="Compact"/>
              <w:jc w:val="left"/>
            </w:pPr>
            <w:r>
              <w:t xml:space="preserve">OPEN — same open question as v11 Section 21.8 item 21.2, now confirmed to extend beyond the single Danaher case. Needs a table-wide LEI-collision count before a merge/dedup strategy can be scoped.</w:t>
            </w:r>
          </w:p>
        </w:tc>
      </w:tr>
      <w:tr>
        <w:tc>
          <w:p>
            <w:pPr>
              <w:pStyle w:val="Compact"/>
              <w:jc w:val="left"/>
            </w:pPr>
            <w:r>
              <w:t xml:space="preserve">22.4</w:t>
            </w:r>
          </w:p>
        </w:tc>
        <w:tc>
          <w:p>
            <w:pPr>
              <w:pStyle w:val="Compact"/>
              <w:jc w:val="left"/>
            </w:pPr>
            <w:r>
              <w:t xml:space="preserve">meridian-proxy’s ?ipos=1 route returns HTTP 402</w:t>
            </w:r>
          </w:p>
        </w:tc>
        <w:tc>
          <w:p>
            <w:pPr>
              <w:pStyle w:val="Compact"/>
              <w:jc w:val="left"/>
            </w:pPr>
            <w:r>
              <w:t xml:space="preserve">Low</w:t>
            </w:r>
          </w:p>
        </w:tc>
        <w:tc>
          <w:p>
            <w:pPr>
              <w:pStyle w:val="Compact"/>
              <w:jc w:val="left"/>
            </w:pPr>
            <w:r>
              <w:t xml:space="preserve">OPEN — found in passing 10 August, likely an FMP API key/quota issue, not investigated.</w:t>
            </w:r>
          </w:p>
        </w:tc>
      </w:tr>
      <w:tr>
        <w:tc>
          <w:p>
            <w:pPr>
              <w:pStyle w:val="Compact"/>
              <w:jc w:val="left"/>
            </w:pPr>
            <w:r>
              <w:t xml:space="preserve">22.5</w:t>
            </w:r>
          </w:p>
        </w:tc>
        <w:tc>
          <w:p>
            <w:pPr>
              <w:pStyle w:val="Compact"/>
              <w:jc w:val="left"/>
            </w:pPr>
            <w:r>
              <w:t xml:space="preserve">Lightweight alerting (Item 5, Section 19) only partially addresses the original ask — no alerting on write-guard triggers or repeated errors specifically, only on hold-state and D1 headroom</w:t>
            </w:r>
          </w:p>
        </w:tc>
        <w:tc>
          <w:p>
            <w:pPr>
              <w:pStyle w:val="Compact"/>
              <w:jc w:val="left"/>
            </w:pPr>
            <w:r>
              <w:t xml:space="preserve">Medium</w:t>
            </w:r>
          </w:p>
        </w:tc>
        <w:tc>
          <w:p>
            <w:pPr>
              <w:pStyle w:val="Compact"/>
              <w:jc w:val="left"/>
            </w:pPr>
            <w:r>
              <w:t xml:space="preserve">OPEN — deliberately scoped down given the August closeout deadline; a fuller answer to the original item remains a backlog candidate.</w:t>
            </w:r>
          </w:p>
        </w:tc>
      </w:tr>
      <w:tr>
        <w:tc>
          <w:p>
            <w:pPr>
              <w:pStyle w:val="Compact"/>
              <w:jc w:val="left"/>
            </w:pPr>
            <w:r>
              <w:t xml:space="preserve">22.6</w:t>
            </w:r>
          </w:p>
        </w:tc>
        <w:tc>
          <w:p>
            <w:pPr>
              <w:pStyle w:val="Compact"/>
              <w:jc w:val="left"/>
            </w:pPr>
            <w:r>
              <w:t xml:space="preserve">entity_enrichment_queue and several other Entities-domain row counts (Section 3.2) were not re-verified for this document despite meridian-entities-enrich resuming activity this sprint</w:t>
            </w:r>
          </w:p>
        </w:tc>
        <w:tc>
          <w:p>
            <w:pPr>
              <w:pStyle w:val="Compact"/>
              <w:jc w:val="left"/>
            </w:pPr>
            <w:r>
              <w:t xml:space="preserve">Low</w:t>
            </w:r>
          </w:p>
        </w:tc>
        <w:tc>
          <w:p>
            <w:pPr>
              <w:pStyle w:val="Compact"/>
              <w:jc w:val="left"/>
            </w:pPr>
            <w:r>
              <w:t xml:space="preserve">OPEN — informational; worth a fresh count next time this document is updated, now that the pipeline is running again after being frozen through v11.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Atlas — Current State v12</dc:title>
  <dc:creator/>
  <cp:keywords/>
  <dcterms:created xsi:type="dcterms:W3CDTF">2026-08-12T17:45:36Z</dcterms:created>
  <dcterms:modified xsi:type="dcterms:W3CDTF">2026-08-12T17:45:36Z</dcterms:modified>
</cp:coreProperties>
</file>

<file path=docProps/custom.xml><?xml version="1.0" encoding="utf-8"?>
<Properties xmlns="http://schemas.openxmlformats.org/officeDocument/2006/custom-properties" xmlns:vt="http://schemas.openxmlformats.org/officeDocument/2006/docPropsVTypes"/>
</file>