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216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  <w:sz w:val="16"/>
              </w:rPr>
              <w:t>VERSIÓN: 01</w:t>
              <w:br/>
            </w:r>
            <w:r>
              <w:rPr>
                <w:rFonts w:ascii="Cambria" w:hAnsi="Cambria"/>
                <w:b/>
                <w:sz w:val="16"/>
              </w:rPr>
              <w:t>FECHA: 2025-08-30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/>
    <w:p>
      <w:r>
        <w:rPr>
          <w:rFonts w:ascii="Cambria" w:hAnsi="Cambria"/>
          <w:sz w:val="20"/>
        </w:rPr>
        <w:t>—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920"/>
      </w:tblGrid>
      <w:tr>
        <w:tc>
          <w:tcPr>
            <w:tcW w:type="dxa" w:w="8640"/>
            <w:shd w:val="clear" w:color="auto" w:fill="E30613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qqqq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60"/>
        <w:gridCol w:w="3960"/>
      </w:tblGrid>
      <w:tr>
        <w:trPr>
          <w:trHeight w:val="2880"/>
        </w:trPr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4560" cy="39014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1191729373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901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qqqqq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