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012A" w14:textId="77777777" w:rsidR="00311C22" w:rsidRDefault="00311C22" w:rsidP="00311C22">
      <w:pPr>
        <w:spacing w:after="0"/>
        <w:ind w:left="720" w:hanging="360"/>
      </w:pPr>
    </w:p>
    <w:p w14:paraId="2E07D308" w14:textId="6568C768" w:rsidR="00311C22" w:rsidRPr="00311C22" w:rsidRDefault="00311C22" w:rsidP="00311C22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List of graphs:</w:t>
      </w:r>
    </w:p>
    <w:p w14:paraId="5C85BAFE" w14:textId="179452CA" w:rsidR="00311C22" w:rsidRPr="00953EF6" w:rsidRDefault="00311C22" w:rsidP="00953EF6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116386C1" w14:textId="77777777" w:rsidR="00311C22" w:rsidRPr="00311C22" w:rsidRDefault="00311C22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23563D8" w14:textId="77777777" w:rsidR="00311C22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ICT Sector Total Revenue – 2010 to 2019 CAGR</w:t>
      </w:r>
    </w:p>
    <w:p w14:paraId="2619A755" w14:textId="77777777" w:rsidR="00DF62B4" w:rsidRDefault="00DF62B4" w:rsidP="008A5635">
      <w:pPr>
        <w:pStyle w:val="Caption"/>
        <w:spacing w:after="0"/>
        <w:ind w:left="720"/>
      </w:pPr>
      <w:bookmarkStart w:id="0" w:name="_Ref31132178"/>
      <w:bookmarkStart w:id="1" w:name="_Toc4124229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0"/>
      <w:r>
        <w:t>: ICT Sector Total Revenue – 2010 to 2019 Compound Annual Growth Rate (CAGR)</w:t>
      </w:r>
      <w:bookmarkEnd w:id="1"/>
    </w:p>
    <w:p w14:paraId="4544251E" w14:textId="77777777" w:rsidR="00311C22" w:rsidRPr="00DF62B4" w:rsidRDefault="00311C22" w:rsidP="00311C22">
      <w:pPr>
        <w:spacing w:after="0"/>
        <w:rPr>
          <w:rFonts w:asciiTheme="majorBidi" w:hAnsiTheme="majorBidi" w:cstheme="majorBidi"/>
          <w:sz w:val="24"/>
          <w:szCs w:val="24"/>
          <w:lang w:val="en-CA"/>
        </w:rPr>
      </w:pPr>
    </w:p>
    <w:p w14:paraId="6250CCF5" w14:textId="77777777" w:rsidR="00311C22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Average ICT Sector Share in Total National Output (2010–2019)</w:t>
      </w:r>
    </w:p>
    <w:p w14:paraId="50D3C3C5" w14:textId="11CDBF9A" w:rsidR="00311C22" w:rsidRDefault="009636BB" w:rsidP="00D25C76">
      <w:pPr>
        <w:spacing w:after="0"/>
        <w:ind w:left="360" w:firstLine="360"/>
      </w:pPr>
      <w:bookmarkStart w:id="2" w:name="_Ref36029140"/>
      <w:r w:rsidRPr="00F77CCD">
        <w:t>Average ICT Sector Share in Total National Output (2010-2019)</w:t>
      </w:r>
      <w:bookmarkEnd w:id="2"/>
    </w:p>
    <w:p w14:paraId="1F80E3DB" w14:textId="77777777" w:rsidR="00D25C76" w:rsidRPr="00311C22" w:rsidRDefault="00D25C76" w:rsidP="00D25C76">
      <w:pPr>
        <w:spacing w:after="0"/>
        <w:ind w:left="360" w:firstLine="360"/>
        <w:rPr>
          <w:rFonts w:asciiTheme="majorBidi" w:hAnsiTheme="majorBidi" w:cstheme="majorBidi"/>
          <w:sz w:val="24"/>
          <w:szCs w:val="24"/>
        </w:rPr>
      </w:pPr>
    </w:p>
    <w:p w14:paraId="670A4491" w14:textId="77777777" w:rsidR="00311C22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Comparison of ICT Share in National GDP</w:t>
      </w:r>
    </w:p>
    <w:p w14:paraId="14ED2941" w14:textId="304BCB26" w:rsidR="00D25C76" w:rsidRDefault="003D3947" w:rsidP="00D25C76">
      <w:pPr>
        <w:pStyle w:val="ListParagraph"/>
        <w:spacing w:after="360" w:line="240" w:lineRule="auto"/>
        <w:rPr>
          <w:i/>
          <w:iCs/>
          <w:lang w:eastAsia="en-CA"/>
        </w:rPr>
      </w:pPr>
      <w:r>
        <w:rPr>
          <w:lang w:eastAsia="en-CA"/>
        </w:rPr>
        <w:t xml:space="preserve">3.1 </w:t>
      </w:r>
      <w:r w:rsidR="00D25C76">
        <w:rPr>
          <w:lang w:eastAsia="en-CA"/>
        </w:rPr>
        <w:fldChar w:fldCharType="begin"/>
      </w:r>
      <w:r w:rsidR="00D25C76">
        <w:rPr>
          <w:lang w:eastAsia="en-CA"/>
        </w:rPr>
        <w:instrText xml:space="preserve"> REF _Ref36132029 \h </w:instrText>
      </w:r>
      <w:r w:rsidR="00D25C76">
        <w:rPr>
          <w:lang w:eastAsia="en-CA"/>
        </w:rPr>
      </w:r>
      <w:r w:rsidR="00D25C76">
        <w:rPr>
          <w:lang w:eastAsia="en-CA"/>
        </w:rPr>
        <w:fldChar w:fldCharType="separate"/>
      </w:r>
      <w:r w:rsidR="00D25C76" w:rsidRPr="004104E8">
        <w:t xml:space="preserve">Figure </w:t>
      </w:r>
      <w:r w:rsidR="00D25C76">
        <w:rPr>
          <w:noProof/>
        </w:rPr>
        <w:t>4</w:t>
      </w:r>
      <w:r w:rsidR="00D25C76">
        <w:rPr>
          <w:lang w:eastAsia="en-CA"/>
        </w:rPr>
        <w:fldChar w:fldCharType="end"/>
      </w:r>
      <w:r w:rsidR="00D25C76">
        <w:rPr>
          <w:lang w:eastAsia="en-CA"/>
        </w:rPr>
        <w:t xml:space="preserve"> below provides a comparison between benchmark countries on ICT share in national GDP by the above two types of impacts </w:t>
      </w:r>
      <w:r w:rsidR="00D25C76" w:rsidRPr="00D25C76">
        <w:rPr>
          <w:color w:val="FF0000"/>
          <w:lang w:eastAsia="en-CA"/>
        </w:rPr>
        <w:t xml:space="preserve">- </w:t>
      </w:r>
      <w:r w:rsidR="00D25C76" w:rsidRPr="00D25C76">
        <w:rPr>
          <w:i/>
          <w:iCs/>
          <w:color w:val="FF0000"/>
          <w:lang w:eastAsia="en-CA"/>
        </w:rPr>
        <w:t>Supply Chain and Cross-sector Diffusion</w:t>
      </w:r>
      <w:r w:rsidR="00D25C76" w:rsidRPr="00D25C76">
        <w:rPr>
          <w:i/>
          <w:iCs/>
          <w:lang w:eastAsia="en-CA"/>
        </w:rPr>
        <w:t>.</w:t>
      </w:r>
    </w:p>
    <w:p w14:paraId="0FF54D04" w14:textId="1479FD94" w:rsidR="00311C22" w:rsidRDefault="003D3947" w:rsidP="00B267E3">
      <w:pPr>
        <w:pStyle w:val="ListParagraph"/>
        <w:spacing w:after="360" w:line="240" w:lineRule="auto"/>
        <w:rPr>
          <w:color w:val="FF0000"/>
          <w:lang w:val="en-CA" w:eastAsia="en-CA"/>
        </w:rPr>
      </w:pPr>
      <w:r>
        <w:rPr>
          <w:lang w:val="en-CA" w:eastAsia="en-CA"/>
        </w:rPr>
        <w:t xml:space="preserve">3.2 </w:t>
      </w:r>
      <w:r w:rsidRPr="003D3947">
        <w:rPr>
          <w:lang w:val="en-CA" w:eastAsia="en-CA"/>
        </w:rPr>
        <w:t xml:space="preserve">Comparison of </w:t>
      </w:r>
      <w:r w:rsidRPr="00E73FC0">
        <w:rPr>
          <w:color w:val="FF0000"/>
          <w:lang w:val="en-CA" w:eastAsia="en-CA"/>
        </w:rPr>
        <w:t>ICT Share in National GDP</w:t>
      </w:r>
    </w:p>
    <w:p w14:paraId="0A76612C" w14:textId="77777777" w:rsidR="00B267E3" w:rsidRPr="00B267E3" w:rsidRDefault="00B267E3" w:rsidP="00B267E3">
      <w:pPr>
        <w:pStyle w:val="ListParagraph"/>
        <w:spacing w:after="360" w:line="240" w:lineRule="auto"/>
        <w:rPr>
          <w:lang w:val="en-CA" w:eastAsia="en-CA"/>
        </w:rPr>
      </w:pPr>
    </w:p>
    <w:p w14:paraId="509839DD" w14:textId="77777777" w:rsidR="00311C22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ICT GDP Overall Impact - % of National GDP (2019)</w:t>
      </w:r>
    </w:p>
    <w:p w14:paraId="7AF0C1F3" w14:textId="721B3153" w:rsidR="00311C22" w:rsidRDefault="00B267E3" w:rsidP="00B267E3">
      <w:pPr>
        <w:spacing w:after="0"/>
        <w:ind w:left="360" w:firstLine="360"/>
        <w:rPr>
          <w:rFonts w:asciiTheme="majorBidi" w:hAnsiTheme="majorBidi" w:cstheme="majorBidi"/>
          <w:sz w:val="24"/>
          <w:szCs w:val="24"/>
        </w:rPr>
      </w:pPr>
      <w:r w:rsidRPr="00B267E3">
        <w:rPr>
          <w:rFonts w:asciiTheme="majorBidi" w:hAnsiTheme="majorBidi" w:cstheme="majorBidi"/>
          <w:sz w:val="24"/>
          <w:szCs w:val="24"/>
        </w:rPr>
        <w:t>Figure 5 below provides a comparison of the ICT GDP overall impact in 2019 in terms of its share in the national economy, encompassing both “Supply Chain” and “Cross-sector Diffusion” GDP impacts.</w:t>
      </w:r>
    </w:p>
    <w:p w14:paraId="199F6F35" w14:textId="77777777" w:rsidR="00B267E3" w:rsidRPr="00311C22" w:rsidRDefault="00B267E3" w:rsidP="00B267E3">
      <w:pPr>
        <w:spacing w:after="0"/>
        <w:ind w:left="360"/>
        <w:rPr>
          <w:rFonts w:asciiTheme="majorBidi" w:hAnsiTheme="majorBidi" w:cstheme="majorBidi"/>
          <w:sz w:val="24"/>
          <w:szCs w:val="24"/>
        </w:rPr>
      </w:pPr>
    </w:p>
    <w:p w14:paraId="014D9259" w14:textId="77777777" w:rsidR="00311C22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ICT GDP Annual Growth over 2010–2019</w:t>
      </w:r>
    </w:p>
    <w:p w14:paraId="17F4189B" w14:textId="6E811E4E" w:rsidR="00311C22" w:rsidRDefault="00B267E3" w:rsidP="00B267E3">
      <w:pPr>
        <w:spacing w:after="0"/>
        <w:ind w:left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Overall ICD GDP compound annual growth (2010-2019)</w:t>
      </w:r>
    </w:p>
    <w:p w14:paraId="1136B221" w14:textId="77777777" w:rsidR="00B267E3" w:rsidRPr="00311C22" w:rsidRDefault="00B267E3" w:rsidP="00B267E3">
      <w:pPr>
        <w:spacing w:after="0"/>
        <w:ind w:left="720"/>
        <w:rPr>
          <w:rFonts w:asciiTheme="majorBidi" w:hAnsiTheme="majorBidi" w:cstheme="majorBidi"/>
          <w:sz w:val="24"/>
          <w:szCs w:val="24"/>
        </w:rPr>
      </w:pPr>
    </w:p>
    <w:p w14:paraId="0A60B599" w14:textId="77777777" w:rsid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ICT Diffusion Impact GDP on Education (% of national GDP)</w:t>
      </w:r>
    </w:p>
    <w:p w14:paraId="5601456F" w14:textId="2E9AEAF4" w:rsidR="00982B71" w:rsidRPr="00982B71" w:rsidRDefault="00982B71" w:rsidP="00982B71">
      <w:pPr>
        <w:pStyle w:val="ListParagraph"/>
        <w:spacing w:after="0"/>
        <w:rPr>
          <w:rFonts w:asciiTheme="majorBidi" w:hAnsiTheme="majorBidi" w:cstheme="majorBidi"/>
          <w:sz w:val="24"/>
          <w:szCs w:val="24"/>
          <w:lang w:val="en-CA"/>
        </w:rPr>
      </w:pPr>
      <w:r w:rsidRPr="00982B71">
        <w:rPr>
          <w:rFonts w:asciiTheme="majorBidi" w:hAnsiTheme="majorBidi" w:cstheme="majorBidi"/>
          <w:sz w:val="24"/>
          <w:szCs w:val="24"/>
          <w:lang w:val="en-CA"/>
        </w:rPr>
        <w:t>ICT Diffusion Impact GDP on Education (% of national GDP)</w:t>
      </w:r>
    </w:p>
    <w:p w14:paraId="3B2371E8" w14:textId="77777777" w:rsidR="00311C22" w:rsidRPr="00311C22" w:rsidRDefault="00311C22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9D59FC4" w14:textId="77777777" w:rsid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ICT Diffusion Impact GDP on Health (% of national GDP)</w:t>
      </w:r>
    </w:p>
    <w:p w14:paraId="43C7D032" w14:textId="629EAA62" w:rsidR="00982B71" w:rsidRPr="00311C22" w:rsidRDefault="00982B71" w:rsidP="00982B71">
      <w:pPr>
        <w:pStyle w:val="ListParagraph"/>
        <w:spacing w:after="0"/>
        <w:rPr>
          <w:rFonts w:asciiTheme="majorBidi" w:hAnsiTheme="majorBidi" w:cstheme="majorBidi"/>
          <w:sz w:val="24"/>
          <w:szCs w:val="24"/>
        </w:rPr>
      </w:pPr>
      <w:r w:rsidRPr="00982B71">
        <w:rPr>
          <w:rFonts w:asciiTheme="majorBidi" w:hAnsiTheme="majorBidi" w:cstheme="majorBidi"/>
          <w:sz w:val="24"/>
          <w:szCs w:val="24"/>
        </w:rPr>
        <w:t xml:space="preserve">In terms of the </w:t>
      </w:r>
      <w:proofErr w:type="spellStart"/>
      <w:r w:rsidRPr="00982B71">
        <w:rPr>
          <w:rFonts w:asciiTheme="majorBidi" w:hAnsiTheme="majorBidi" w:cstheme="majorBidi"/>
          <w:sz w:val="24"/>
          <w:szCs w:val="24"/>
        </w:rPr>
        <w:t>KSA’s</w:t>
      </w:r>
      <w:proofErr w:type="spellEnd"/>
      <w:r w:rsidRPr="00982B71">
        <w:rPr>
          <w:rFonts w:asciiTheme="majorBidi" w:hAnsiTheme="majorBidi" w:cstheme="majorBidi"/>
          <w:sz w:val="24"/>
          <w:szCs w:val="24"/>
        </w:rPr>
        <w:t xml:space="preserve"> ICT Diffusion GDP Impact on the health sector, its contribution doubled from 0.05% (2010) to 0.11% (2019).</w:t>
      </w:r>
    </w:p>
    <w:p w14:paraId="735F197C" w14:textId="77777777" w:rsidR="00311C22" w:rsidRDefault="00311C22" w:rsidP="00311C22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02C417B0" w14:textId="77777777" w:rsidR="00D0475C" w:rsidRDefault="00D0475C" w:rsidP="00311C22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5E4E32FA" w14:textId="77777777" w:rsidR="00D0475C" w:rsidRDefault="00D0475C" w:rsidP="00311C22">
      <w:pPr>
        <w:spacing w:after="0"/>
        <w:rPr>
          <w:rFonts w:asciiTheme="majorBidi" w:hAnsiTheme="majorBidi" w:cstheme="majorBidi"/>
          <w:sz w:val="24"/>
          <w:szCs w:val="24"/>
          <w:rtl/>
        </w:rPr>
      </w:pPr>
    </w:p>
    <w:p w14:paraId="07FE5E2F" w14:textId="031596EE" w:rsidR="00D0475C" w:rsidRDefault="00D0475C" w:rsidP="00311C22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Employment</w:t>
      </w:r>
    </w:p>
    <w:p w14:paraId="56B22072" w14:textId="77777777" w:rsidR="00D0475C" w:rsidRPr="008F61B7" w:rsidRDefault="00D0475C" w:rsidP="00D0475C">
      <w:pPr>
        <w:pStyle w:val="ListParagraph"/>
        <w:numPr>
          <w:ilvl w:val="0"/>
          <w:numId w:val="2"/>
        </w:numPr>
        <w:spacing w:after="120" w:line="240" w:lineRule="auto"/>
        <w:ind w:left="357" w:hanging="357"/>
        <w:contextualSpacing w:val="0"/>
        <w:rPr>
          <w:b/>
          <w:bCs/>
          <w:i/>
          <w:iCs/>
          <w:lang w:eastAsia="en-CA"/>
        </w:rPr>
      </w:pPr>
      <w:r w:rsidRPr="00E670E5">
        <w:rPr>
          <w:i/>
          <w:iCs/>
          <w:lang w:eastAsia="en-CA"/>
        </w:rPr>
        <w:t>Direct Employment</w:t>
      </w:r>
      <w:r>
        <w:rPr>
          <w:i/>
          <w:iCs/>
          <w:lang w:eastAsia="en-CA"/>
        </w:rPr>
        <w:t xml:space="preserve"> (DE)</w:t>
      </w:r>
      <w:r>
        <w:rPr>
          <w:lang w:eastAsia="en-CA"/>
        </w:rPr>
        <w:t xml:space="preserve">, which represents persons employed within the ICT sector to produce its total domestic output, referred to as </w:t>
      </w:r>
      <w:r w:rsidRPr="008F61B7">
        <w:rPr>
          <w:b/>
          <w:bCs/>
          <w:i/>
          <w:iCs/>
          <w:lang w:eastAsia="en-CA"/>
        </w:rPr>
        <w:t>“Direct Impact</w:t>
      </w:r>
      <w:r>
        <w:rPr>
          <w:b/>
          <w:bCs/>
          <w:i/>
          <w:iCs/>
          <w:lang w:eastAsia="en-CA"/>
        </w:rPr>
        <w:t>.</w:t>
      </w:r>
      <w:r w:rsidRPr="008F61B7">
        <w:rPr>
          <w:b/>
          <w:bCs/>
          <w:i/>
          <w:iCs/>
          <w:lang w:eastAsia="en-CA"/>
        </w:rPr>
        <w:t>”</w:t>
      </w:r>
    </w:p>
    <w:p w14:paraId="0A93AC2E" w14:textId="77777777" w:rsidR="00D0475C" w:rsidRPr="00E24168" w:rsidRDefault="00D0475C" w:rsidP="00D0475C">
      <w:pPr>
        <w:pStyle w:val="ListParagraph"/>
        <w:numPr>
          <w:ilvl w:val="0"/>
          <w:numId w:val="2"/>
        </w:numPr>
        <w:spacing w:after="120" w:line="240" w:lineRule="auto"/>
        <w:ind w:left="357" w:hanging="357"/>
        <w:contextualSpacing w:val="0"/>
        <w:rPr>
          <w:b/>
          <w:bCs/>
          <w:i/>
          <w:iCs/>
          <w:lang w:eastAsia="en-CA"/>
        </w:rPr>
      </w:pPr>
      <w:r w:rsidRPr="00E670E5">
        <w:rPr>
          <w:i/>
          <w:iCs/>
          <w:lang w:eastAsia="en-CA"/>
        </w:rPr>
        <w:t>Supply Chain Employment</w:t>
      </w:r>
      <w:r>
        <w:rPr>
          <w:i/>
          <w:iCs/>
          <w:lang w:eastAsia="en-CA"/>
        </w:rPr>
        <w:t xml:space="preserve"> (SC)</w:t>
      </w:r>
      <w:r>
        <w:rPr>
          <w:lang w:eastAsia="en-CA"/>
        </w:rPr>
        <w:t xml:space="preserve">, which represents the persons employed by the suppliers of the ICT sector to meet its demands for inputs to produce ICT products and services (referred to as </w:t>
      </w:r>
      <w:r w:rsidRPr="008F61B7">
        <w:rPr>
          <w:b/>
          <w:bCs/>
          <w:i/>
          <w:iCs/>
          <w:lang w:eastAsia="en-CA"/>
        </w:rPr>
        <w:t>“indirect impact”</w:t>
      </w:r>
      <w:r>
        <w:rPr>
          <w:lang w:eastAsia="en-CA"/>
        </w:rPr>
        <w:t xml:space="preserve">). It also includes the employment generated as a result of re-spending salaries and wages earned by the persons employed by the ICT sector and its suppliers across the entire economy, referred to as </w:t>
      </w:r>
      <w:r w:rsidRPr="00E24168">
        <w:rPr>
          <w:b/>
          <w:bCs/>
          <w:i/>
          <w:iCs/>
          <w:lang w:eastAsia="en-CA"/>
        </w:rPr>
        <w:t>“Induced Impact</w:t>
      </w:r>
      <w:r>
        <w:rPr>
          <w:b/>
          <w:bCs/>
          <w:i/>
          <w:iCs/>
          <w:lang w:eastAsia="en-CA"/>
        </w:rPr>
        <w:t>.”</w:t>
      </w:r>
    </w:p>
    <w:p w14:paraId="5E41105D" w14:textId="77777777" w:rsidR="00D0475C" w:rsidRDefault="00D0475C" w:rsidP="00D0475C">
      <w:pPr>
        <w:pStyle w:val="ListParagraph"/>
        <w:numPr>
          <w:ilvl w:val="0"/>
          <w:numId w:val="2"/>
        </w:numPr>
        <w:spacing w:after="120" w:line="240" w:lineRule="auto"/>
        <w:rPr>
          <w:lang w:eastAsia="en-CA"/>
        </w:rPr>
      </w:pPr>
      <w:r>
        <w:rPr>
          <w:i/>
          <w:iCs/>
          <w:lang w:eastAsia="en-CA"/>
        </w:rPr>
        <w:t xml:space="preserve">Cross-sector Diffusion Employment (CD), </w:t>
      </w:r>
      <w:r>
        <w:rPr>
          <w:lang w:eastAsia="en-CA"/>
        </w:rPr>
        <w:t>which represents persons employed by other sectors of the economy to enable the use of ICT products and services for the production of their outputs.</w:t>
      </w:r>
    </w:p>
    <w:p w14:paraId="6D4A4E7E" w14:textId="77777777" w:rsidR="00D0475C" w:rsidRDefault="00D0475C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F586949" w14:textId="77777777" w:rsidR="00D0475C" w:rsidRPr="00D0475C" w:rsidRDefault="00D0475C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261B0D8" w14:textId="77777777" w:rsidR="00311C22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Comparison of ICT Sector Employment Impact in 2019</w:t>
      </w:r>
    </w:p>
    <w:p w14:paraId="18CA1F9E" w14:textId="5C62C114" w:rsidR="00311C22" w:rsidRDefault="00E76BA8" w:rsidP="00E76BA8">
      <w:pPr>
        <w:spacing w:after="0"/>
        <w:ind w:left="720"/>
        <w:rPr>
          <w:rFonts w:asciiTheme="majorBidi" w:hAnsiTheme="majorBidi" w:cstheme="majorBidi"/>
          <w:sz w:val="24"/>
          <w:szCs w:val="24"/>
          <w:lang w:val="en-CA"/>
        </w:rPr>
      </w:pPr>
      <w:r w:rsidRPr="00E76BA8">
        <w:rPr>
          <w:rFonts w:asciiTheme="majorBidi" w:hAnsiTheme="majorBidi" w:cstheme="majorBidi"/>
          <w:sz w:val="24"/>
          <w:szCs w:val="24"/>
          <w:lang w:val="en-CA"/>
        </w:rPr>
        <w:t>Figure 9: Comparison of ICT Sector Employment Impact in 2019</w:t>
      </w:r>
    </w:p>
    <w:p w14:paraId="7B457BF7" w14:textId="77777777" w:rsidR="00E76BA8" w:rsidRDefault="00E76BA8" w:rsidP="00E76BA8">
      <w:pPr>
        <w:spacing w:after="0"/>
        <w:ind w:left="720"/>
        <w:rPr>
          <w:rFonts w:asciiTheme="majorBidi" w:hAnsiTheme="majorBidi" w:cstheme="majorBidi"/>
          <w:sz w:val="24"/>
          <w:szCs w:val="24"/>
          <w:rtl/>
          <w:lang w:val="en-CA"/>
        </w:rPr>
      </w:pPr>
    </w:p>
    <w:p w14:paraId="130A4D9F" w14:textId="77777777" w:rsidR="00D0475C" w:rsidRDefault="00D0475C" w:rsidP="00E76BA8">
      <w:pPr>
        <w:spacing w:after="0"/>
        <w:ind w:left="720"/>
        <w:rPr>
          <w:rFonts w:asciiTheme="majorBidi" w:hAnsiTheme="majorBidi" w:cstheme="majorBidi"/>
          <w:sz w:val="24"/>
          <w:szCs w:val="24"/>
          <w:rtl/>
          <w:lang w:val="en-CA"/>
        </w:rPr>
      </w:pPr>
    </w:p>
    <w:p w14:paraId="67A18FCF" w14:textId="77777777" w:rsidR="00D0475C" w:rsidRPr="00E76BA8" w:rsidRDefault="00D0475C" w:rsidP="00E76BA8">
      <w:pPr>
        <w:spacing w:after="0"/>
        <w:ind w:left="720"/>
        <w:rPr>
          <w:rFonts w:asciiTheme="majorBidi" w:hAnsiTheme="majorBidi" w:cstheme="majorBidi"/>
          <w:sz w:val="24"/>
          <w:szCs w:val="24"/>
          <w:lang w:val="en-CA"/>
        </w:rPr>
      </w:pPr>
    </w:p>
    <w:p w14:paraId="1D2BBF60" w14:textId="77777777" w:rsid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2019 ICT Cross-Sector Diffusion Employment Impact Ratio</w:t>
      </w:r>
    </w:p>
    <w:p w14:paraId="0BE124DC" w14:textId="77777777" w:rsidR="00A10557" w:rsidRDefault="00A10557" w:rsidP="00A10557">
      <w:pPr>
        <w:pStyle w:val="Caption"/>
        <w:spacing w:after="0"/>
        <w:ind w:left="720"/>
      </w:pPr>
      <w:r>
        <w:t xml:space="preserve">2019 </w:t>
      </w:r>
      <w:r w:rsidRPr="00AB4B65">
        <w:t>ICT Cross</w:t>
      </w:r>
      <w:r>
        <w:t>-</w:t>
      </w:r>
      <w:r w:rsidRPr="00AB4B65">
        <w:t>Sector Diffusion Employment Impact Ratio</w:t>
      </w:r>
    </w:p>
    <w:p w14:paraId="32598A96" w14:textId="5D0A8305" w:rsidR="00311C22" w:rsidRPr="00311C22" w:rsidRDefault="00311C22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02665A0" w14:textId="77777777" w:rsidR="00311C22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ICT Employment Impact Ratio (Increase/decrease from 2010 to 2019)</w:t>
      </w:r>
    </w:p>
    <w:p w14:paraId="34CDB6A6" w14:textId="77777777" w:rsidR="003F41B2" w:rsidRDefault="003F41B2" w:rsidP="00385DC0">
      <w:pPr>
        <w:pStyle w:val="Caption"/>
        <w:spacing w:after="0"/>
        <w:ind w:left="720"/>
      </w:pPr>
      <w:bookmarkStart w:id="3" w:name="_Ref32069896"/>
      <w:bookmarkStart w:id="4" w:name="_Toc41242306"/>
      <w:r w:rsidRPr="004104E8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bookmarkEnd w:id="3"/>
      <w:r w:rsidRPr="004104E8">
        <w:t xml:space="preserve">: </w:t>
      </w:r>
      <w:r>
        <w:t>ICT Employment Impact Ratio (Increase/decrease from 2010 to 2019)</w:t>
      </w:r>
      <w:bookmarkEnd w:id="4"/>
    </w:p>
    <w:p w14:paraId="4C156964" w14:textId="77777777" w:rsidR="00311C22" w:rsidRPr="003F41B2" w:rsidRDefault="00311C22" w:rsidP="003F41B2">
      <w:pPr>
        <w:spacing w:after="0"/>
        <w:ind w:left="720"/>
        <w:rPr>
          <w:rFonts w:asciiTheme="majorBidi" w:hAnsiTheme="majorBidi" w:cstheme="majorBidi"/>
          <w:sz w:val="24"/>
          <w:szCs w:val="24"/>
          <w:lang w:val="en-CA"/>
        </w:rPr>
      </w:pPr>
    </w:p>
    <w:p w14:paraId="6C78F8FE" w14:textId="77777777" w:rsidR="00311C22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Overall ICT Productivity - GDP per employee (in SAR 000)</w:t>
      </w:r>
    </w:p>
    <w:p w14:paraId="4666D13B" w14:textId="77777777" w:rsidR="00385DC0" w:rsidRPr="00882937" w:rsidRDefault="00385DC0" w:rsidP="00385DC0">
      <w:pPr>
        <w:pStyle w:val="Caption"/>
        <w:spacing w:after="0"/>
        <w:ind w:left="720"/>
      </w:pPr>
      <w:bookmarkStart w:id="5" w:name="_Ref32079245"/>
      <w:bookmarkStart w:id="6" w:name="_Toc41242307"/>
      <w:r w:rsidRPr="00882937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0882937">
        <w:rPr>
          <w:noProof/>
        </w:rPr>
        <w:t>12</w:t>
      </w:r>
      <w:r>
        <w:rPr>
          <w:noProof/>
        </w:rPr>
        <w:fldChar w:fldCharType="end"/>
      </w:r>
      <w:bookmarkEnd w:id="5"/>
      <w:r w:rsidRPr="00882937">
        <w:t>: Overall ICT Productivity - GDP per employee (in SAR 000)</w:t>
      </w:r>
      <w:bookmarkEnd w:id="6"/>
    </w:p>
    <w:p w14:paraId="77F5160A" w14:textId="77777777" w:rsidR="00311C22" w:rsidRPr="00385DC0" w:rsidRDefault="00311C22" w:rsidP="00385DC0">
      <w:pPr>
        <w:spacing w:after="0"/>
        <w:ind w:left="720"/>
        <w:rPr>
          <w:rFonts w:asciiTheme="majorBidi" w:hAnsiTheme="majorBidi" w:cstheme="majorBidi"/>
          <w:sz w:val="24"/>
          <w:szCs w:val="24"/>
          <w:lang w:val="en-CA"/>
        </w:rPr>
      </w:pPr>
    </w:p>
    <w:p w14:paraId="0094D552" w14:textId="105B81E2" w:rsidR="007F0351" w:rsidRPr="00311C22" w:rsidRDefault="00311C22" w:rsidP="00311C22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311C22">
        <w:rPr>
          <w:rFonts w:asciiTheme="majorBidi" w:hAnsiTheme="majorBidi" w:cstheme="majorBidi"/>
          <w:sz w:val="24"/>
          <w:szCs w:val="24"/>
        </w:rPr>
        <w:t>Overall ICT Productivity Annual Growth (CAGR) 2010–2019</w:t>
      </w:r>
    </w:p>
    <w:p w14:paraId="6A7B6607" w14:textId="77777777" w:rsidR="00A61A03" w:rsidRPr="00905DB5" w:rsidRDefault="00A61A03" w:rsidP="00A61A03">
      <w:pPr>
        <w:pStyle w:val="Caption"/>
        <w:spacing w:after="0"/>
        <w:ind w:left="720"/>
      </w:pPr>
      <w:bookmarkStart w:id="7" w:name="_Ref29181497"/>
      <w:bookmarkStart w:id="8" w:name="_Toc41242308"/>
      <w:r w:rsidRPr="00905DB5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00905DB5">
        <w:rPr>
          <w:noProof/>
        </w:rPr>
        <w:t>13</w:t>
      </w:r>
      <w:r>
        <w:rPr>
          <w:noProof/>
        </w:rPr>
        <w:fldChar w:fldCharType="end"/>
      </w:r>
      <w:bookmarkEnd w:id="7"/>
      <w:r w:rsidRPr="00905DB5">
        <w:t>:  Overall ICT Productivity Annual Growth (CAGR) 2010-2019</w:t>
      </w:r>
      <w:bookmarkEnd w:id="8"/>
    </w:p>
    <w:p w14:paraId="0D188DDE" w14:textId="77777777" w:rsidR="00311C22" w:rsidRPr="00A61A03" w:rsidRDefault="00311C22" w:rsidP="00A61A03">
      <w:pPr>
        <w:spacing w:after="0"/>
        <w:ind w:left="720"/>
        <w:rPr>
          <w:rFonts w:asciiTheme="majorBidi" w:hAnsiTheme="majorBidi" w:cstheme="majorBidi"/>
          <w:sz w:val="24"/>
          <w:szCs w:val="24"/>
          <w:lang w:val="en-CA"/>
        </w:rPr>
      </w:pPr>
    </w:p>
    <w:p w14:paraId="69A0E289" w14:textId="77777777" w:rsidR="00311C22" w:rsidRDefault="00311C22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1F51465" w14:textId="1087A7A8" w:rsidR="00311C22" w:rsidRDefault="00311C22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1238992" w14:textId="557320C5" w:rsidR="00953EF6" w:rsidRDefault="00953EF6" w:rsidP="00311C22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Data needed:</w:t>
      </w:r>
    </w:p>
    <w:p w14:paraId="38433A1A" w14:textId="5BC5B49F" w:rsidR="00953EF6" w:rsidRDefault="00953EF6" w:rsidP="00311C22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Years 2012 – 2022</w:t>
      </w:r>
    </w:p>
    <w:p w14:paraId="104D5C03" w14:textId="77777777" w:rsidR="00953EF6" w:rsidRPr="00953EF6" w:rsidRDefault="00953EF6" w:rsidP="00953EF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 xml:space="preserve">Countries </w:t>
      </w:r>
      <w:r w:rsidRPr="00953EF6">
        <w:rPr>
          <w:rFonts w:asciiTheme="majorBidi" w:hAnsiTheme="majorBidi" w:cstheme="majorBidi"/>
        </w:rPr>
        <w:t xml:space="preserve">  </w:t>
      </w:r>
      <w:r w:rsidRPr="00953EF6">
        <w:rPr>
          <w:rFonts w:asciiTheme="majorBidi" w:hAnsiTheme="majorBidi" w:cstheme="majorBidi"/>
          <w:b/>
          <w:bCs/>
        </w:rPr>
        <w:t>Canada</w:t>
      </w:r>
    </w:p>
    <w:p w14:paraId="02CF8EF9" w14:textId="77777777" w:rsidR="00953EF6" w:rsidRPr="00953EF6" w:rsidRDefault="00953EF6" w:rsidP="00953EF6">
      <w:pPr>
        <w:spacing w:after="0"/>
        <w:rPr>
          <w:rFonts w:asciiTheme="majorBidi" w:hAnsiTheme="majorBidi" w:cstheme="majorBidi"/>
          <w:sz w:val="24"/>
          <w:szCs w:val="24"/>
        </w:rPr>
      </w:pPr>
      <w:r w:rsidRPr="00953EF6">
        <w:rPr>
          <w:rFonts w:asciiTheme="majorBidi" w:hAnsiTheme="majorBidi" w:cstheme="majorBidi"/>
          <w:sz w:val="24"/>
          <w:szCs w:val="24"/>
        </w:rPr>
        <w:t xml:space="preserve">  </w:t>
      </w:r>
      <w:r w:rsidRPr="00953EF6">
        <w:rPr>
          <w:rFonts w:asciiTheme="majorBidi" w:hAnsiTheme="majorBidi" w:cstheme="majorBidi"/>
          <w:b/>
          <w:bCs/>
          <w:sz w:val="24"/>
          <w:szCs w:val="24"/>
        </w:rPr>
        <w:t>France</w:t>
      </w:r>
    </w:p>
    <w:p w14:paraId="6FAC9C8D" w14:textId="77777777" w:rsidR="00953EF6" w:rsidRPr="00953EF6" w:rsidRDefault="00953EF6" w:rsidP="00953EF6">
      <w:pPr>
        <w:spacing w:after="0"/>
        <w:rPr>
          <w:rFonts w:asciiTheme="majorBidi" w:hAnsiTheme="majorBidi" w:cstheme="majorBidi"/>
          <w:sz w:val="24"/>
          <w:szCs w:val="24"/>
        </w:rPr>
      </w:pPr>
      <w:r w:rsidRPr="00953EF6">
        <w:rPr>
          <w:rFonts w:asciiTheme="majorBidi" w:hAnsiTheme="majorBidi" w:cstheme="majorBidi"/>
          <w:sz w:val="24"/>
          <w:szCs w:val="24"/>
        </w:rPr>
        <w:t xml:space="preserve">  </w:t>
      </w:r>
      <w:r w:rsidRPr="00953EF6">
        <w:rPr>
          <w:rFonts w:asciiTheme="majorBidi" w:hAnsiTheme="majorBidi" w:cstheme="majorBidi"/>
          <w:b/>
          <w:bCs/>
          <w:sz w:val="24"/>
          <w:szCs w:val="24"/>
        </w:rPr>
        <w:t>Germany</w:t>
      </w:r>
    </w:p>
    <w:p w14:paraId="4BFED2F9" w14:textId="77777777" w:rsidR="00953EF6" w:rsidRPr="00953EF6" w:rsidRDefault="00953EF6" w:rsidP="00953EF6">
      <w:pPr>
        <w:spacing w:after="0"/>
        <w:rPr>
          <w:rFonts w:asciiTheme="majorBidi" w:hAnsiTheme="majorBidi" w:cstheme="majorBidi"/>
          <w:sz w:val="24"/>
          <w:szCs w:val="24"/>
        </w:rPr>
      </w:pPr>
      <w:r w:rsidRPr="00953EF6">
        <w:rPr>
          <w:rFonts w:asciiTheme="majorBidi" w:hAnsiTheme="majorBidi" w:cstheme="majorBidi"/>
          <w:sz w:val="24"/>
          <w:szCs w:val="24"/>
        </w:rPr>
        <w:t xml:space="preserve">  </w:t>
      </w:r>
      <w:r w:rsidRPr="00953EF6">
        <w:rPr>
          <w:rFonts w:asciiTheme="majorBidi" w:hAnsiTheme="majorBidi" w:cstheme="majorBidi"/>
          <w:b/>
          <w:bCs/>
          <w:sz w:val="24"/>
          <w:szCs w:val="24"/>
        </w:rPr>
        <w:t>Italy</w:t>
      </w:r>
    </w:p>
    <w:p w14:paraId="09F06DB5" w14:textId="77777777" w:rsidR="00953EF6" w:rsidRPr="00953EF6" w:rsidRDefault="00953EF6" w:rsidP="00953EF6">
      <w:pPr>
        <w:spacing w:after="0"/>
        <w:rPr>
          <w:rFonts w:asciiTheme="majorBidi" w:hAnsiTheme="majorBidi" w:cstheme="majorBidi"/>
          <w:sz w:val="24"/>
          <w:szCs w:val="24"/>
        </w:rPr>
      </w:pPr>
      <w:r w:rsidRPr="00953EF6">
        <w:rPr>
          <w:rFonts w:asciiTheme="majorBidi" w:hAnsiTheme="majorBidi" w:cstheme="majorBidi"/>
          <w:sz w:val="24"/>
          <w:szCs w:val="24"/>
        </w:rPr>
        <w:t xml:space="preserve">  </w:t>
      </w:r>
      <w:r w:rsidRPr="00953EF6">
        <w:rPr>
          <w:rFonts w:asciiTheme="majorBidi" w:hAnsiTheme="majorBidi" w:cstheme="majorBidi"/>
          <w:b/>
          <w:bCs/>
          <w:sz w:val="24"/>
          <w:szCs w:val="24"/>
        </w:rPr>
        <w:t>Japan</w:t>
      </w:r>
    </w:p>
    <w:p w14:paraId="67AD64A9" w14:textId="77777777" w:rsidR="00953EF6" w:rsidRPr="00953EF6" w:rsidRDefault="00953EF6" w:rsidP="00953EF6">
      <w:pPr>
        <w:spacing w:after="0"/>
        <w:rPr>
          <w:rFonts w:asciiTheme="majorBidi" w:hAnsiTheme="majorBidi" w:cstheme="majorBidi"/>
          <w:sz w:val="24"/>
          <w:szCs w:val="24"/>
        </w:rPr>
      </w:pPr>
      <w:r w:rsidRPr="00953EF6">
        <w:rPr>
          <w:rFonts w:asciiTheme="majorBidi" w:hAnsiTheme="majorBidi" w:cstheme="majorBidi"/>
          <w:sz w:val="24"/>
          <w:szCs w:val="24"/>
        </w:rPr>
        <w:t xml:space="preserve">  </w:t>
      </w:r>
      <w:r w:rsidRPr="00953EF6">
        <w:rPr>
          <w:rFonts w:asciiTheme="majorBidi" w:hAnsiTheme="majorBidi" w:cstheme="majorBidi"/>
          <w:b/>
          <w:bCs/>
          <w:sz w:val="24"/>
          <w:szCs w:val="24"/>
        </w:rPr>
        <w:t>United Kingdom</w:t>
      </w:r>
    </w:p>
    <w:p w14:paraId="01FB922C" w14:textId="77777777" w:rsidR="00953EF6" w:rsidRPr="00953EF6" w:rsidRDefault="00953EF6" w:rsidP="00953EF6">
      <w:pPr>
        <w:spacing w:after="0"/>
        <w:rPr>
          <w:rFonts w:asciiTheme="majorBidi" w:hAnsiTheme="majorBidi" w:cstheme="majorBidi"/>
          <w:sz w:val="24"/>
          <w:szCs w:val="24"/>
        </w:rPr>
      </w:pPr>
      <w:r w:rsidRPr="00953EF6">
        <w:rPr>
          <w:rFonts w:asciiTheme="majorBidi" w:hAnsiTheme="majorBidi" w:cstheme="majorBidi"/>
          <w:sz w:val="24"/>
          <w:szCs w:val="24"/>
        </w:rPr>
        <w:t xml:space="preserve">  </w:t>
      </w:r>
      <w:r w:rsidRPr="00953EF6">
        <w:rPr>
          <w:rFonts w:asciiTheme="majorBidi" w:hAnsiTheme="majorBidi" w:cstheme="majorBidi"/>
          <w:b/>
          <w:bCs/>
          <w:sz w:val="24"/>
          <w:szCs w:val="24"/>
        </w:rPr>
        <w:t>United States</w:t>
      </w:r>
    </w:p>
    <w:p w14:paraId="073D5E82" w14:textId="2B234F3E" w:rsidR="00953EF6" w:rsidRDefault="00953EF6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90A9EBC" w14:textId="0A26CC8E" w:rsidR="006718A3" w:rsidRDefault="006718A3" w:rsidP="00311C22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Output</w:t>
      </w:r>
    </w:p>
    <w:p w14:paraId="4032A45B" w14:textId="77777777" w:rsidR="006718A3" w:rsidRPr="00311C22" w:rsidRDefault="006718A3" w:rsidP="00311C22">
      <w:pPr>
        <w:spacing w:after="0"/>
        <w:rPr>
          <w:rFonts w:asciiTheme="majorBidi" w:hAnsiTheme="majorBidi" w:cstheme="majorBidi"/>
          <w:sz w:val="24"/>
          <w:szCs w:val="24"/>
        </w:rPr>
      </w:pPr>
    </w:p>
    <w:sectPr w:rsidR="006718A3" w:rsidRPr="00311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109DE"/>
    <w:multiLevelType w:val="hybridMultilevel"/>
    <w:tmpl w:val="9560F4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B5420"/>
    <w:multiLevelType w:val="hybridMultilevel"/>
    <w:tmpl w:val="D79C392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431040">
    <w:abstractNumId w:val="0"/>
  </w:num>
  <w:num w:numId="2" w16cid:durableId="764807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22"/>
    <w:rsid w:val="00170FEB"/>
    <w:rsid w:val="00206C68"/>
    <w:rsid w:val="002A5083"/>
    <w:rsid w:val="00311C22"/>
    <w:rsid w:val="00385DC0"/>
    <w:rsid w:val="003D3947"/>
    <w:rsid w:val="003F41B2"/>
    <w:rsid w:val="006718A3"/>
    <w:rsid w:val="0068690C"/>
    <w:rsid w:val="007F0351"/>
    <w:rsid w:val="008A5635"/>
    <w:rsid w:val="00953EF6"/>
    <w:rsid w:val="009636BB"/>
    <w:rsid w:val="00982B71"/>
    <w:rsid w:val="00A10557"/>
    <w:rsid w:val="00A61A03"/>
    <w:rsid w:val="00B267E3"/>
    <w:rsid w:val="00D0475C"/>
    <w:rsid w:val="00D25C76"/>
    <w:rsid w:val="00D77F96"/>
    <w:rsid w:val="00DF62B4"/>
    <w:rsid w:val="00E73FC0"/>
    <w:rsid w:val="00E76BA8"/>
    <w:rsid w:val="00F0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17D5"/>
  <w15:chartTrackingRefBased/>
  <w15:docId w15:val="{44FC500A-1A02-4A1E-BA5A-04630441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C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3EF6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DF62B4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  <w:lang w:val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17</cp:revision>
  <dcterms:created xsi:type="dcterms:W3CDTF">2025-05-29T22:35:00Z</dcterms:created>
  <dcterms:modified xsi:type="dcterms:W3CDTF">2025-06-23T19:11:00Z</dcterms:modified>
</cp:coreProperties>
</file>