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A19850" w14:textId="2316D4A1" w:rsidR="007F0351" w:rsidRDefault="00F814FF" w:rsidP="00F50D8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 xml:space="preserve">   </w:t>
      </w:r>
      <w:r w:rsidR="00F50D84">
        <w:rPr>
          <w:rFonts w:asciiTheme="majorBidi" w:hAnsiTheme="majorBidi" w:cstheme="majorBidi"/>
          <w:sz w:val="24"/>
          <w:szCs w:val="24"/>
          <w:lang w:val="en-US"/>
        </w:rPr>
        <w:t>Data for trending</w:t>
      </w:r>
    </w:p>
    <w:p w14:paraId="3C9E2F92" w14:textId="77777777" w:rsidR="003E6823" w:rsidRDefault="003E6823" w:rsidP="003E6823">
      <w:pPr>
        <w:spacing w:after="0"/>
        <w:rPr>
          <w:rFonts w:asciiTheme="minorBidi" w:hAnsiTheme="minorBidi"/>
          <w:lang w:val="en-US"/>
        </w:rPr>
      </w:pPr>
    </w:p>
    <w:p w14:paraId="1B93CF3B" w14:textId="77777777" w:rsidR="003E6823" w:rsidRDefault="003E6823" w:rsidP="003E6823">
      <w:pPr>
        <w:spacing w:after="0"/>
        <w:rPr>
          <w:rFonts w:asciiTheme="minorBidi" w:hAnsiTheme="minorBidi"/>
          <w:lang w:val="en-US"/>
        </w:rPr>
      </w:pPr>
    </w:p>
    <w:p w14:paraId="1081D717" w14:textId="77777777" w:rsidR="003E6823" w:rsidRDefault="003E6823" w:rsidP="003E6823">
      <w:pPr>
        <w:spacing w:after="0"/>
        <w:rPr>
          <w:rFonts w:asciiTheme="minorBidi" w:hAnsiTheme="minorBidi"/>
          <w:lang w:val="en-US"/>
        </w:rPr>
      </w:pPr>
      <w:r>
        <w:rPr>
          <w:rFonts w:asciiTheme="minorBidi" w:hAnsiTheme="minorBidi"/>
          <w:lang w:val="en-US"/>
        </w:rPr>
        <w:t>conference-board.com</w:t>
      </w:r>
    </w:p>
    <w:p w14:paraId="602539DC" w14:textId="77777777" w:rsidR="003E6823" w:rsidRDefault="00000000" w:rsidP="003E6823">
      <w:pPr>
        <w:spacing w:after="0"/>
        <w:rPr>
          <w:rFonts w:asciiTheme="minorBidi" w:hAnsiTheme="minorBidi"/>
          <w:lang w:val="en-US"/>
        </w:rPr>
      </w:pPr>
      <w:hyperlink r:id="rId4" w:history="1">
        <w:r w:rsidR="003E6823" w:rsidRPr="00A26E0D">
          <w:rPr>
            <w:rStyle w:val="Hyperlink"/>
            <w:rFonts w:asciiTheme="minorBidi" w:hAnsiTheme="minorBidi"/>
            <w:lang w:val="en-US"/>
          </w:rPr>
          <w:t>ndori@nesglobe.com</w:t>
        </w:r>
      </w:hyperlink>
    </w:p>
    <w:p w14:paraId="0F29A915" w14:textId="77777777" w:rsidR="003E6823" w:rsidRDefault="003E6823" w:rsidP="003E6823">
      <w:pPr>
        <w:spacing w:after="0"/>
        <w:rPr>
          <w:rFonts w:asciiTheme="minorBidi" w:hAnsiTheme="minorBidi"/>
          <w:lang w:val="en-US"/>
        </w:rPr>
      </w:pPr>
      <w:r>
        <w:rPr>
          <w:rFonts w:asciiTheme="minorBidi" w:hAnsiTheme="minorBidi"/>
          <w:lang w:val="en-US"/>
        </w:rPr>
        <w:t>Iwantdata7</w:t>
      </w:r>
    </w:p>
    <w:p w14:paraId="4C483D48" w14:textId="77777777" w:rsidR="003E6823" w:rsidRDefault="003E6823" w:rsidP="003E6823">
      <w:pPr>
        <w:spacing w:after="0"/>
        <w:rPr>
          <w:rFonts w:asciiTheme="minorBidi" w:hAnsiTheme="minorBidi"/>
          <w:lang w:val="en-US"/>
        </w:rPr>
      </w:pPr>
    </w:p>
    <w:p w14:paraId="0A63C4E8" w14:textId="77777777" w:rsidR="003E6823" w:rsidRDefault="003E6823" w:rsidP="003E6823">
      <w:pPr>
        <w:spacing w:after="0"/>
        <w:rPr>
          <w:rFonts w:asciiTheme="minorBidi" w:hAnsiTheme="minorBidi"/>
          <w:lang w:val="en-US"/>
        </w:rPr>
      </w:pPr>
      <w:r>
        <w:rPr>
          <w:rFonts w:asciiTheme="minorBidi" w:hAnsiTheme="minorBidi"/>
          <w:lang w:val="en-US"/>
        </w:rPr>
        <w:t>Worldbank</w:t>
      </w:r>
    </w:p>
    <w:p w14:paraId="3085B247" w14:textId="77777777" w:rsidR="003E6823" w:rsidRDefault="003E6823" w:rsidP="003E6823">
      <w:pPr>
        <w:spacing w:after="0"/>
        <w:rPr>
          <w:rFonts w:asciiTheme="minorBidi" w:hAnsiTheme="minorBidi"/>
          <w:lang w:val="en-US"/>
        </w:rPr>
      </w:pPr>
      <w:r>
        <w:rPr>
          <w:rFonts w:asciiTheme="minorBidi" w:hAnsiTheme="minorBidi"/>
          <w:lang w:val="en-US"/>
        </w:rPr>
        <w:t>Ndori…</w:t>
      </w:r>
    </w:p>
    <w:p w14:paraId="141517E6" w14:textId="77777777" w:rsidR="003E6823" w:rsidRDefault="003E6823" w:rsidP="003E6823">
      <w:pPr>
        <w:spacing w:after="0"/>
        <w:rPr>
          <w:rFonts w:asciiTheme="minorBidi" w:hAnsiTheme="minorBidi"/>
          <w:lang w:val="en-US"/>
        </w:rPr>
      </w:pPr>
      <w:r>
        <w:rPr>
          <w:rFonts w:asciiTheme="minorBidi" w:hAnsiTheme="minorBidi"/>
          <w:lang w:val="en-US"/>
        </w:rPr>
        <w:t>Iwantdata7</w:t>
      </w:r>
    </w:p>
    <w:p w14:paraId="08429EB0" w14:textId="77777777" w:rsidR="003E6823" w:rsidRDefault="003E6823" w:rsidP="003E6823">
      <w:pPr>
        <w:spacing w:after="0"/>
        <w:rPr>
          <w:rFonts w:asciiTheme="minorBidi" w:hAnsiTheme="minorBidi"/>
          <w:lang w:val="en-US"/>
        </w:rPr>
      </w:pPr>
    </w:p>
    <w:p w14:paraId="2B227505" w14:textId="77777777" w:rsidR="00F50D84" w:rsidRDefault="00F50D84" w:rsidP="00F50D8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0AEB4B59" w14:textId="60F2B1DD" w:rsidR="00F50D84" w:rsidRDefault="00F50D84" w:rsidP="00F50D8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 xml:space="preserve">World bank was easier than </w:t>
      </w:r>
    </w:p>
    <w:p w14:paraId="2A1913EB" w14:textId="06909FA6" w:rsidR="00F50D84" w:rsidRDefault="00DA2654" w:rsidP="00F50D8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 w:rsidRPr="00DA2654">
        <w:rPr>
          <w:rFonts w:asciiTheme="majorBidi" w:hAnsiTheme="majorBidi" w:cstheme="majorBidi"/>
          <w:sz w:val="24"/>
          <w:szCs w:val="24"/>
          <w:lang w:val="en-US"/>
        </w:rPr>
        <w:t>https://data360.worldbank.org/en/search</w:t>
      </w:r>
    </w:p>
    <w:p w14:paraId="56757E97" w14:textId="77777777" w:rsidR="00F50D84" w:rsidRDefault="00F50D84" w:rsidP="00F50D8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5CE2C48B" w14:textId="77777777" w:rsidR="00F50D84" w:rsidRDefault="00F50D84" w:rsidP="00F50D8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7C3E5872" w14:textId="77777777" w:rsidR="00F50D84" w:rsidRPr="00F50D84" w:rsidRDefault="00F50D84" w:rsidP="00F50D84">
      <w:pPr>
        <w:spacing w:after="0"/>
        <w:rPr>
          <w:rFonts w:asciiTheme="majorBidi" w:hAnsiTheme="majorBidi" w:cstheme="majorBidi"/>
          <w:sz w:val="24"/>
          <w:szCs w:val="24"/>
        </w:rPr>
      </w:pPr>
      <w:r w:rsidRPr="00F50D84">
        <w:rPr>
          <w:rFonts w:asciiTheme="majorBidi" w:hAnsiTheme="majorBidi" w:cstheme="majorBidi"/>
          <w:sz w:val="24"/>
          <w:szCs w:val="24"/>
        </w:rPr>
        <w:t>'HFCE', 'NPISH',    'GGFC', 'GFCF', 'INVNT', 'CONS_NONRES', 'EXPO'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2616"/>
        <w:gridCol w:w="4548"/>
      </w:tblGrid>
      <w:tr w:rsidR="00F50D84" w:rsidRPr="00F50D84" w14:paraId="799094CF" w14:textId="77777777" w:rsidTr="00F50D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2CD3E7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43CA0E93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Full Name</w:t>
            </w:r>
          </w:p>
        </w:tc>
        <w:tc>
          <w:tcPr>
            <w:tcW w:w="0" w:type="auto"/>
            <w:vAlign w:val="center"/>
            <w:hideMark/>
          </w:tcPr>
          <w:p w14:paraId="399DE615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Description</w:t>
            </w:r>
          </w:p>
        </w:tc>
      </w:tr>
      <w:tr w:rsidR="00F50D84" w:rsidRPr="00F50D84" w14:paraId="3CD587D4" w14:textId="77777777" w:rsidTr="00F50D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9B998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HFCE</w:t>
            </w:r>
          </w:p>
        </w:tc>
        <w:tc>
          <w:tcPr>
            <w:tcW w:w="0" w:type="auto"/>
            <w:vAlign w:val="center"/>
            <w:hideMark/>
          </w:tcPr>
          <w:p w14:paraId="1C41C161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sz w:val="24"/>
                <w:szCs w:val="24"/>
              </w:rPr>
              <w:t>Household Final Consumption Expenditure</w:t>
            </w:r>
          </w:p>
        </w:tc>
        <w:tc>
          <w:tcPr>
            <w:tcW w:w="0" w:type="auto"/>
            <w:vAlign w:val="center"/>
            <w:hideMark/>
          </w:tcPr>
          <w:p w14:paraId="21A472D1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sz w:val="24"/>
                <w:szCs w:val="24"/>
              </w:rPr>
              <w:t>Spending by households on goods &amp; services, excluding NPISH and government.</w:t>
            </w:r>
          </w:p>
        </w:tc>
      </w:tr>
      <w:tr w:rsidR="00F50D84" w:rsidRPr="00F50D84" w14:paraId="6398F514" w14:textId="77777777" w:rsidTr="00F50D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8A9ED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NPISH</w:t>
            </w:r>
          </w:p>
        </w:tc>
        <w:tc>
          <w:tcPr>
            <w:tcW w:w="0" w:type="auto"/>
            <w:vAlign w:val="center"/>
            <w:hideMark/>
          </w:tcPr>
          <w:p w14:paraId="3B2BE81A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sz w:val="24"/>
                <w:szCs w:val="24"/>
              </w:rPr>
              <w:t>Non-Profit Institutions Serving Households</w:t>
            </w:r>
          </w:p>
        </w:tc>
        <w:tc>
          <w:tcPr>
            <w:tcW w:w="0" w:type="auto"/>
            <w:vAlign w:val="center"/>
            <w:hideMark/>
          </w:tcPr>
          <w:p w14:paraId="1E7402B7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sz w:val="24"/>
                <w:szCs w:val="24"/>
              </w:rPr>
              <w:t>Final consumption by charities, religious orgs, etc., serving households for free.</w:t>
            </w:r>
          </w:p>
        </w:tc>
      </w:tr>
      <w:tr w:rsidR="00F50D84" w:rsidRPr="00F50D84" w14:paraId="00633E2B" w14:textId="77777777" w:rsidTr="00F50D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EEEDB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GGFC</w:t>
            </w:r>
          </w:p>
        </w:tc>
        <w:tc>
          <w:tcPr>
            <w:tcW w:w="0" w:type="auto"/>
            <w:vAlign w:val="center"/>
            <w:hideMark/>
          </w:tcPr>
          <w:p w14:paraId="381E4BA8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sz w:val="24"/>
                <w:szCs w:val="24"/>
              </w:rPr>
              <w:t>Government Final Consumption</w:t>
            </w:r>
          </w:p>
        </w:tc>
        <w:tc>
          <w:tcPr>
            <w:tcW w:w="0" w:type="auto"/>
            <w:vAlign w:val="center"/>
            <w:hideMark/>
          </w:tcPr>
          <w:p w14:paraId="7D494EDC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sz w:val="24"/>
                <w:szCs w:val="24"/>
              </w:rPr>
              <w:t>Government spending on goods &amp; services consumed by the public (e.g., health, defense).</w:t>
            </w:r>
          </w:p>
        </w:tc>
      </w:tr>
      <w:tr w:rsidR="00F50D84" w:rsidRPr="00F50D84" w14:paraId="3EC34CCD" w14:textId="77777777" w:rsidTr="00F50D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4AEFD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GFCF</w:t>
            </w:r>
          </w:p>
        </w:tc>
        <w:tc>
          <w:tcPr>
            <w:tcW w:w="0" w:type="auto"/>
            <w:vAlign w:val="center"/>
            <w:hideMark/>
          </w:tcPr>
          <w:p w14:paraId="1DCA2908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sz w:val="24"/>
                <w:szCs w:val="24"/>
              </w:rPr>
              <w:t>Gross Fixed Capital Formation</w:t>
            </w:r>
          </w:p>
        </w:tc>
        <w:tc>
          <w:tcPr>
            <w:tcW w:w="0" w:type="auto"/>
            <w:vAlign w:val="center"/>
            <w:hideMark/>
          </w:tcPr>
          <w:p w14:paraId="6F94E933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sz w:val="24"/>
                <w:szCs w:val="24"/>
              </w:rPr>
              <w:t>Investment in fixed assets: buildings, machinery, infrastructure, etc.</w:t>
            </w:r>
          </w:p>
        </w:tc>
      </w:tr>
      <w:tr w:rsidR="00F50D84" w:rsidRPr="00F50D84" w14:paraId="1D103B7F" w14:textId="77777777" w:rsidTr="00F50D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6374D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INVNT</w:t>
            </w:r>
          </w:p>
        </w:tc>
        <w:tc>
          <w:tcPr>
            <w:tcW w:w="0" w:type="auto"/>
            <w:vAlign w:val="center"/>
            <w:hideMark/>
          </w:tcPr>
          <w:p w14:paraId="1D647538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sz w:val="24"/>
                <w:szCs w:val="24"/>
              </w:rPr>
              <w:t>Changes in Inventories</w:t>
            </w:r>
          </w:p>
        </w:tc>
        <w:tc>
          <w:tcPr>
            <w:tcW w:w="0" w:type="auto"/>
            <w:vAlign w:val="center"/>
            <w:hideMark/>
          </w:tcPr>
          <w:p w14:paraId="31F19C91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sz w:val="24"/>
                <w:szCs w:val="24"/>
              </w:rPr>
              <w:t>Net accumulation of goods held in inventory by businesses.</w:t>
            </w:r>
          </w:p>
        </w:tc>
      </w:tr>
      <w:tr w:rsidR="00F50D84" w:rsidRPr="00F50D84" w14:paraId="5AF5B8BE" w14:textId="77777777" w:rsidTr="00F50D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7424B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CONS_NONRES</w:t>
            </w:r>
          </w:p>
        </w:tc>
        <w:tc>
          <w:tcPr>
            <w:tcW w:w="0" w:type="auto"/>
            <w:vAlign w:val="center"/>
            <w:hideMark/>
          </w:tcPr>
          <w:p w14:paraId="0146F1D8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sz w:val="24"/>
                <w:szCs w:val="24"/>
              </w:rPr>
              <w:t>Final Consumption Expenditure: Non-residents</w:t>
            </w:r>
          </w:p>
        </w:tc>
        <w:tc>
          <w:tcPr>
            <w:tcW w:w="0" w:type="auto"/>
            <w:vAlign w:val="center"/>
            <w:hideMark/>
          </w:tcPr>
          <w:p w14:paraId="19B8A098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sz w:val="24"/>
                <w:szCs w:val="24"/>
              </w:rPr>
              <w:t>Consumption by non-residents in the domestic economy (e.g., tourists). Often a small component.</w:t>
            </w:r>
          </w:p>
        </w:tc>
      </w:tr>
      <w:tr w:rsidR="00F50D84" w:rsidRPr="00F50D84" w14:paraId="66ABDF0E" w14:textId="77777777" w:rsidTr="00F50D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D27FB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EXPO</w:t>
            </w:r>
          </w:p>
        </w:tc>
        <w:tc>
          <w:tcPr>
            <w:tcW w:w="0" w:type="auto"/>
            <w:vAlign w:val="center"/>
            <w:hideMark/>
          </w:tcPr>
          <w:p w14:paraId="36B386F9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sz w:val="24"/>
                <w:szCs w:val="24"/>
              </w:rPr>
              <w:t>Exports of Goods and Services</w:t>
            </w:r>
          </w:p>
        </w:tc>
        <w:tc>
          <w:tcPr>
            <w:tcW w:w="0" w:type="auto"/>
            <w:vAlign w:val="center"/>
            <w:hideMark/>
          </w:tcPr>
          <w:p w14:paraId="204DE08A" w14:textId="77777777" w:rsidR="00F50D84" w:rsidRPr="00F50D84" w:rsidRDefault="00F50D84" w:rsidP="00F50D84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F50D84">
              <w:rPr>
                <w:rFonts w:asciiTheme="majorBidi" w:hAnsiTheme="majorBidi" w:cstheme="majorBidi"/>
                <w:sz w:val="24"/>
                <w:szCs w:val="24"/>
              </w:rPr>
              <w:t>Value of goods and services sold abroad.</w:t>
            </w:r>
          </w:p>
        </w:tc>
      </w:tr>
    </w:tbl>
    <w:p w14:paraId="0BC44517" w14:textId="77777777" w:rsidR="00F50D84" w:rsidRPr="00F50D84" w:rsidRDefault="00F50D84" w:rsidP="00F50D84">
      <w:pPr>
        <w:spacing w:after="0"/>
        <w:rPr>
          <w:rFonts w:asciiTheme="majorBidi" w:hAnsiTheme="majorBidi" w:cstheme="majorBidi"/>
          <w:sz w:val="24"/>
          <w:szCs w:val="24"/>
        </w:rPr>
      </w:pPr>
    </w:p>
    <w:sectPr w:rsidR="00F50D84" w:rsidRPr="00F50D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D84"/>
    <w:rsid w:val="00206C68"/>
    <w:rsid w:val="002A5083"/>
    <w:rsid w:val="003E6823"/>
    <w:rsid w:val="00497F10"/>
    <w:rsid w:val="0068690C"/>
    <w:rsid w:val="007F0351"/>
    <w:rsid w:val="00DA2654"/>
    <w:rsid w:val="00F03270"/>
    <w:rsid w:val="00F50D84"/>
    <w:rsid w:val="00F81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89FB9"/>
  <w15:chartTrackingRefBased/>
  <w15:docId w15:val="{569C5614-957B-4BA7-8F6A-DA36E9282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0D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0D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0D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0D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0D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0D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0D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0D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0D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D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0D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0D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0D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0D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0D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0D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0D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0D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0D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0D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0D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0D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0D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0D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0D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0D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0D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0D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0D8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E682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0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6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6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ndori@nesglob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 Dori</dc:creator>
  <cp:keywords/>
  <dc:description/>
  <cp:lastModifiedBy>Navit Dori</cp:lastModifiedBy>
  <cp:revision>3</cp:revision>
  <dcterms:created xsi:type="dcterms:W3CDTF">2025-07-07T20:24:00Z</dcterms:created>
  <dcterms:modified xsi:type="dcterms:W3CDTF">2025-07-18T14:30:00Z</dcterms:modified>
</cp:coreProperties>
</file>