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525" w:rsidRPr="00590525" w:rsidRDefault="00590525" w:rsidP="00590525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333333"/>
          <w:sz w:val="28"/>
          <w:szCs w:val="28"/>
        </w:rPr>
      </w:pPr>
      <w:r w:rsidRPr="00590525">
        <w:rPr>
          <w:rFonts w:ascii="標楷體" w:eastAsia="標楷體" w:hAnsi="標楷體" w:hint="eastAsia"/>
          <w:color w:val="333333"/>
          <w:sz w:val="28"/>
          <w:szCs w:val="28"/>
        </w:rPr>
        <w:t>魚類種苗之孵化裝置及孵化設備</w:t>
      </w:r>
    </w:p>
    <w:p w:rsidR="00BE0F38" w:rsidRPr="00BE0F38" w:rsidRDefault="00F3538B" w:rsidP="008268DC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</w:pPr>
      <w:bookmarkStart w:id="0" w:name="_GoBack"/>
      <w:bookmarkEnd w:id="0"/>
      <w:r w:rsidRPr="00BE0F38">
        <w:rPr>
          <w:rFonts w:ascii="標楷體" w:eastAsia="標楷體" w:hAnsi="標楷體"/>
          <w:color w:val="5EA4F4"/>
          <w:sz w:val="30"/>
          <w:szCs w:val="30"/>
          <w:bdr w:val="none" w:sz="0" w:space="0" w:color="auto" w:frame="1"/>
        </w:rPr>
        <w:t>105-03-12</w:t>
      </w:r>
      <w:r>
        <w:rPr>
          <w:rFonts w:ascii="標楷體" w:eastAsia="標楷體" w:hAnsi="標楷體" w:hint="eastAsia"/>
          <w:color w:val="5EA4F4"/>
          <w:sz w:val="30"/>
          <w:szCs w:val="30"/>
          <w:bdr w:val="none" w:sz="0" w:space="0" w:color="auto" w:frame="1"/>
        </w:rPr>
        <w:t xml:space="preserve">                                    </w:t>
      </w:r>
      <w:r w:rsidR="00BE0F38" w:rsidRPr="00BE0F38">
        <w:rPr>
          <w:rFonts w:ascii="標楷體" w:eastAsia="標楷體" w:hAnsi="標楷體" w:hint="eastAsia"/>
          <w:color w:val="999999"/>
          <w:sz w:val="28"/>
          <w:szCs w:val="28"/>
          <w:bdr w:val="none" w:sz="0" w:space="0" w:color="auto" w:frame="1"/>
        </w:rPr>
        <w:t>點閱率：</w:t>
      </w:r>
      <w:r w:rsidR="008D290A"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  <w:t>110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項目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內容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專利類型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D290A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D290A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新型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專利權號數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D290A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D290A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M285214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發明人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D290A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D290A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林家興、方力行、蔡錦玲、王立雪、蔡淑君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單位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國立海洋生物博物館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地址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屏東縣車城鄉後灣村後灣路2號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專利摘要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BE0F38" w:rsidRPr="002A6C07" w:rsidRDefault="008D290A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D290A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本創作係一種魚類種苗之孵化裝置及孵化設備，該孵化設備係包括一水槽、設於水槽內之送水裝置、一以上位於水槽上方並且與送水裝置連通之孵化裝置、以及與水槽內部連通之一過濾裝置、一調溫裝置，藉由該送水裝置將水槽中的水緩慢地抽送至孵化裝置內，亦即以緩慢的水流帶動魚卵，類似口孵魚屬、慈鯛類之口孵原理，並確保魚卵處於穩定的水質當中，以提高孵化率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F3538B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可能應用</w:t>
            </w:r>
          </w:p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的範圍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D290A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D290A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各種水產種苗孵化，水族箱、研究工具。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與現今技術相比較後，列舉此項發明的優點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D290A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D290A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成本低，可隨時擴充相關的裝置，成效佳。</w:t>
            </w:r>
          </w:p>
        </w:tc>
      </w:tr>
      <w:tr w:rsidR="00212191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212191" w:rsidRPr="002A6C07" w:rsidRDefault="00212191" w:rsidP="00212191">
            <w:pPr>
              <w:widowControl/>
              <w:pBdr>
                <w:bottom w:val="single" w:sz="6" w:space="0" w:color="F2F2F2"/>
              </w:pBdr>
              <w:spacing w:line="400" w:lineRule="exact"/>
              <w:jc w:val="center"/>
              <w:textAlignment w:val="baseline"/>
              <w:outlineLvl w:val="4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附加檔案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8D290A" w:rsidRPr="008D290A" w:rsidRDefault="00590525" w:rsidP="008D290A">
            <w:pPr>
              <w:widowControl/>
              <w:numPr>
                <w:ilvl w:val="0"/>
                <w:numId w:val="8"/>
              </w:numPr>
              <w:spacing w:line="400" w:lineRule="exact"/>
              <w:ind w:left="0" w:hanging="357"/>
              <w:textAlignment w:val="baseline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  <w:u w:val="single"/>
              </w:rPr>
            </w:pPr>
            <w:hyperlink r:id="rId5" w:tgtFrame="_blank" w:tooltip="魚類種苗之孵化裝置及孵化設備_.pdf檔案下載(另開新視窗)" w:history="1">
              <w:r w:rsidR="008D290A" w:rsidRPr="008D290A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魚類種苗之孵化裝置及孵化設備</w:t>
              </w:r>
            </w:hyperlink>
          </w:p>
          <w:p w:rsidR="00212191" w:rsidRPr="008D290A" w:rsidRDefault="00590525" w:rsidP="008D290A">
            <w:pPr>
              <w:widowControl/>
              <w:numPr>
                <w:ilvl w:val="0"/>
                <w:numId w:val="8"/>
              </w:numPr>
              <w:spacing w:line="400" w:lineRule="exact"/>
              <w:ind w:left="0" w:hanging="357"/>
              <w:textAlignment w:val="baseline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hyperlink r:id="rId6" w:tgtFrame="_blank" w:tooltip="公告本館魚類種苗之孵化裝置及孵化設備(新型  M285214)_.docx檔案下載(另開新視窗)" w:history="1">
              <w:r w:rsidR="008D290A" w:rsidRPr="008D290A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公告本館魚類種苗之孵化裝置及孵化設備(新型 M285214)</w:t>
              </w:r>
            </w:hyperlink>
          </w:p>
        </w:tc>
      </w:tr>
    </w:tbl>
    <w:p w:rsidR="00BE0F38" w:rsidRDefault="00BE0F38" w:rsidP="00BE0F38">
      <w:pPr>
        <w:spacing w:line="400" w:lineRule="exact"/>
      </w:pPr>
    </w:p>
    <w:sectPr w:rsidR="00BE0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939"/>
    <w:multiLevelType w:val="multilevel"/>
    <w:tmpl w:val="B54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C8F"/>
    <w:multiLevelType w:val="multilevel"/>
    <w:tmpl w:val="EE0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85FE7"/>
    <w:multiLevelType w:val="multilevel"/>
    <w:tmpl w:val="D6C0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523F9"/>
    <w:multiLevelType w:val="multilevel"/>
    <w:tmpl w:val="68AC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41382"/>
    <w:multiLevelType w:val="multilevel"/>
    <w:tmpl w:val="36F6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D4DEF"/>
    <w:multiLevelType w:val="multilevel"/>
    <w:tmpl w:val="435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90080"/>
    <w:multiLevelType w:val="multilevel"/>
    <w:tmpl w:val="9D84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C36D20"/>
    <w:multiLevelType w:val="multilevel"/>
    <w:tmpl w:val="87D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8"/>
    <w:rsid w:val="000E14BB"/>
    <w:rsid w:val="0017134A"/>
    <w:rsid w:val="00212191"/>
    <w:rsid w:val="00286EFA"/>
    <w:rsid w:val="002A6C07"/>
    <w:rsid w:val="003B19AD"/>
    <w:rsid w:val="005059A8"/>
    <w:rsid w:val="00590525"/>
    <w:rsid w:val="006E7406"/>
    <w:rsid w:val="00805811"/>
    <w:rsid w:val="008268DC"/>
    <w:rsid w:val="008D290A"/>
    <w:rsid w:val="00910529"/>
    <w:rsid w:val="009A2252"/>
    <w:rsid w:val="00BE0F38"/>
    <w:rsid w:val="00D22C0C"/>
    <w:rsid w:val="00E0565B"/>
    <w:rsid w:val="00E739B7"/>
    <w:rsid w:val="00EB73B4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8365"/>
  <w15:chartTrackingRefBased/>
  <w15:docId w15:val="{C6712AEB-DCD6-4FF3-80BC-3088914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E0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0F3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E0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rsid w:val="00BE0F38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cial-links-tooltip">
    <w:name w:val="social-links-tooltip"/>
    <w:basedOn w:val="a0"/>
    <w:rsid w:val="00BE0F38"/>
  </w:style>
  <w:style w:type="character" w:styleId="a3">
    <w:name w:val="Hyperlink"/>
    <w:basedOn w:val="a0"/>
    <w:uiPriority w:val="99"/>
    <w:semiHidden/>
    <w:unhideWhenUsed/>
    <w:rsid w:val="00BE0F38"/>
    <w:rPr>
      <w:color w:val="0000FF"/>
      <w:u w:val="single"/>
    </w:rPr>
  </w:style>
  <w:style w:type="character" w:customStyle="1" w:styleId="vv-titletime">
    <w:name w:val="vv-title_time"/>
    <w:basedOn w:val="a0"/>
    <w:rsid w:val="00BE0F38"/>
  </w:style>
  <w:style w:type="character" w:customStyle="1" w:styleId="kf-counticon">
    <w:name w:val="kf-count_icon"/>
    <w:basedOn w:val="a0"/>
    <w:rsid w:val="00BE0F38"/>
  </w:style>
  <w:style w:type="table" w:styleId="a4">
    <w:name w:val="Table Grid"/>
    <w:basedOn w:val="a1"/>
    <w:uiPriority w:val="39"/>
    <w:rsid w:val="00B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5EA4F4"/>
                    <w:right w:val="none" w:sz="0" w:space="0" w:color="auto"/>
                  </w:divBdr>
                </w:div>
                <w:div w:id="205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512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846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038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1632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4635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531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968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3C3C3"/>
                        <w:right w:val="none" w:sz="0" w:space="0" w:color="auto"/>
                      </w:divBdr>
                      <w:divsChild>
                        <w:div w:id="267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3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a.nmmba.gov.tw/FileDownload/HoldPatentCollections/20160312164545334019191.docx" TargetMode="External"/><Relationship Id="rId5" Type="http://schemas.openxmlformats.org/officeDocument/2006/relationships/hyperlink" Target="http://academia.nmmba.gov.tw/FileDownload/HoldPatentCollections/201603121645453652203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20</cp:revision>
  <dcterms:created xsi:type="dcterms:W3CDTF">2018-01-31T08:28:00Z</dcterms:created>
  <dcterms:modified xsi:type="dcterms:W3CDTF">2018-01-31T10:12:00Z</dcterms:modified>
</cp:coreProperties>
</file>