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9B7" w:rsidRPr="00E739B7" w:rsidRDefault="00BE0F38" w:rsidP="00E739B7">
      <w:pPr>
        <w:pStyle w:val="3"/>
        <w:spacing w:before="0" w:beforeAutospacing="0" w:after="0" w:afterAutospacing="0" w:line="300" w:lineRule="atLeast"/>
        <w:jc w:val="center"/>
        <w:textAlignment w:val="baseline"/>
        <w:rPr>
          <w:rFonts w:ascii="標楷體" w:eastAsia="標楷體" w:hAnsi="標楷體"/>
          <w:color w:val="333333"/>
          <w:sz w:val="28"/>
          <w:szCs w:val="28"/>
        </w:rPr>
      </w:pPr>
      <w:r w:rsidRPr="00BE0F38">
        <w:rPr>
          <w:rFonts w:ascii="標楷體" w:eastAsia="標楷體" w:hAnsi="標楷體" w:hint="eastAsia"/>
          <w:color w:val="333333"/>
          <w:sz w:val="28"/>
          <w:szCs w:val="28"/>
        </w:rPr>
        <w:t>人工</w:t>
      </w:r>
      <w:r w:rsidR="00E739B7" w:rsidRPr="00E739B7">
        <w:rPr>
          <w:rFonts w:ascii="標楷體" w:eastAsia="標楷體" w:hAnsi="標楷體" w:hint="eastAsia"/>
          <w:color w:val="333333"/>
          <w:sz w:val="28"/>
          <w:szCs w:val="28"/>
        </w:rPr>
        <w:t>珊瑚礁的建置方法</w:t>
      </w:r>
    </w:p>
    <w:p w:rsidR="00BE0F38" w:rsidRPr="00BE0F38" w:rsidRDefault="00F3538B" w:rsidP="00F3538B">
      <w:pPr>
        <w:widowControl/>
        <w:spacing w:line="400" w:lineRule="exact"/>
        <w:textAlignment w:val="baseline"/>
        <w:rPr>
          <w:rFonts w:ascii="標楷體" w:eastAsia="標楷體" w:hAnsi="標楷體" w:cs="新細明體"/>
          <w:color w:val="999999"/>
          <w:kern w:val="0"/>
          <w:sz w:val="28"/>
          <w:szCs w:val="28"/>
          <w:bdr w:val="none" w:sz="0" w:space="0" w:color="auto" w:frame="1"/>
        </w:rPr>
      </w:pPr>
      <w:bookmarkStart w:id="0" w:name="aNewsTop"/>
      <w:bookmarkEnd w:id="0"/>
      <w:r w:rsidRPr="00BE0F38">
        <w:rPr>
          <w:rFonts w:ascii="標楷體" w:eastAsia="標楷體" w:hAnsi="標楷體" w:cs="新細明體"/>
          <w:color w:val="5EA4F4"/>
          <w:kern w:val="0"/>
          <w:sz w:val="30"/>
          <w:szCs w:val="30"/>
          <w:bdr w:val="none" w:sz="0" w:space="0" w:color="auto" w:frame="1"/>
        </w:rPr>
        <w:t>105-03-12</w:t>
      </w:r>
      <w:r>
        <w:rPr>
          <w:rFonts w:ascii="標楷體" w:eastAsia="標楷體" w:hAnsi="標楷體" w:cs="新細明體" w:hint="eastAsia"/>
          <w:color w:val="5EA4F4"/>
          <w:kern w:val="0"/>
          <w:sz w:val="30"/>
          <w:szCs w:val="30"/>
          <w:bdr w:val="none" w:sz="0" w:space="0" w:color="auto" w:frame="1"/>
        </w:rPr>
        <w:t xml:space="preserve">                                    </w:t>
      </w:r>
      <w:r w:rsidR="00BE0F38" w:rsidRPr="00BE0F38">
        <w:rPr>
          <w:rFonts w:ascii="標楷體" w:eastAsia="標楷體" w:hAnsi="標楷體" w:cs="新細明體" w:hint="eastAsia"/>
          <w:color w:val="999999"/>
          <w:kern w:val="0"/>
          <w:sz w:val="28"/>
          <w:szCs w:val="28"/>
          <w:bdr w:val="none" w:sz="0" w:space="0" w:color="auto" w:frame="1"/>
        </w:rPr>
        <w:t>點閱率：1</w:t>
      </w:r>
      <w:r w:rsidR="009A2252">
        <w:rPr>
          <w:rFonts w:ascii="標楷體" w:eastAsia="標楷體" w:hAnsi="標楷體" w:cs="新細明體" w:hint="eastAsia"/>
          <w:color w:val="999999"/>
          <w:kern w:val="0"/>
          <w:sz w:val="28"/>
          <w:szCs w:val="28"/>
          <w:bdr w:val="none" w:sz="0" w:space="0" w:color="auto" w:frame="1"/>
        </w:rPr>
        <w:t>3</w:t>
      </w:r>
      <w:r w:rsidR="009A2252">
        <w:rPr>
          <w:rFonts w:ascii="標楷體" w:eastAsia="標楷體" w:hAnsi="標楷體" w:cs="新細明體"/>
          <w:color w:val="999999"/>
          <w:kern w:val="0"/>
          <w:sz w:val="28"/>
          <w:szCs w:val="28"/>
          <w:bdr w:val="none" w:sz="0" w:space="0" w:color="auto" w:frame="1"/>
        </w:rPr>
        <w:t>5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項目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內容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專利類型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both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發明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專利權號數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A2252" w:rsidP="00F3538B">
            <w:pPr>
              <w:spacing w:line="400" w:lineRule="exact"/>
              <w:jc w:val="both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I251463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發明人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A2252" w:rsidP="00F3538B">
            <w:pPr>
              <w:spacing w:line="400" w:lineRule="exact"/>
              <w:jc w:val="both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樊同雲、方力行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單位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both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國立海洋生物博物館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地址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both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屏東縣車城鄉後灣村後灣路2號</w:t>
            </w:r>
          </w:p>
        </w:tc>
      </w:tr>
      <w:tr w:rsidR="00BE0F38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專利摘要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BE0F38" w:rsidRPr="002A6C07" w:rsidRDefault="009A2252" w:rsidP="00BE0F38">
            <w:pPr>
              <w:spacing w:line="400" w:lineRule="exact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本發明是關於一種人工珊瑚礁的建置方法,其係於淺水海域集中投放許多空心的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矩形礁體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,並以不規則方式堆疊,而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讓礁體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彼此鑲嵌且不易移動翻覆,其面向海流方向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形成指狀堆疊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,其消散海浪力量、保護海岸及海中結構物的功能;再以各種方式移植造礁珊瑚群體,及利用浮游生物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網套住礁體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,且加入造礁珊瑚子代使其自行附著,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使造礁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珊瑚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在礁體表面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快速附著成長,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強固礁體之間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的連結,而依本發明方法可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在礁體之內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與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堆疊礁體之間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形成大量多樣的隱蔽空間,可提供各類珊瑚礁生物棲息、覓食、躲藏和繁殖的</w:t>
            </w:r>
            <w:proofErr w:type="gramStart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安全棲所</w:t>
            </w:r>
            <w:proofErr w:type="gramEnd"/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,及培育各類漁業生物資源使其成為生產基地,達到發展經濟、漁業及提昇觀光、旅遊和保護海岸之功效。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F3538B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可能應用</w:t>
            </w:r>
          </w:p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的範圍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A2252" w:rsidP="009A2252">
            <w:pPr>
              <w:spacing w:line="400" w:lineRule="exact"/>
              <w:jc w:val="both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海岸復育、人工魚礁、水產養殖。</w:t>
            </w:r>
          </w:p>
        </w:tc>
      </w:tr>
      <w:tr w:rsidR="00BE0F38" w:rsidRPr="00BE0F38" w:rsidTr="009A2252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BE0F38" w:rsidRPr="002A6C07" w:rsidRDefault="00BE0F38" w:rsidP="00F3538B">
            <w:pPr>
              <w:spacing w:line="400" w:lineRule="exact"/>
              <w:jc w:val="center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  <w:t>與現今技術相比較後，列舉此項發明的優點</w:t>
            </w:r>
          </w:p>
        </w:tc>
        <w:tc>
          <w:tcPr>
            <w:tcW w:w="6174" w:type="dxa"/>
            <w:shd w:val="clear" w:color="auto" w:fill="FFF2CC" w:themeFill="accent4" w:themeFillTint="33"/>
            <w:vAlign w:val="center"/>
          </w:tcPr>
          <w:p w:rsidR="00BE0F38" w:rsidRPr="002A6C07" w:rsidRDefault="009A2252" w:rsidP="009A2252">
            <w:pPr>
              <w:spacing w:line="400" w:lineRule="exact"/>
              <w:jc w:val="both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9A2252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自然、成本低、成效佳、具教育保育功能。</w:t>
            </w:r>
          </w:p>
        </w:tc>
      </w:tr>
      <w:tr w:rsidR="00212191" w:rsidRPr="00BE0F38" w:rsidTr="00F3538B">
        <w:trPr>
          <w:trHeight w:val="624"/>
        </w:trPr>
        <w:tc>
          <w:tcPr>
            <w:tcW w:w="2122" w:type="dxa"/>
            <w:shd w:val="clear" w:color="auto" w:fill="FFF2CC" w:themeFill="accent4" w:themeFillTint="33"/>
            <w:vAlign w:val="center"/>
          </w:tcPr>
          <w:p w:rsidR="00212191" w:rsidRPr="002A6C07" w:rsidRDefault="00212191" w:rsidP="00212191">
            <w:pPr>
              <w:widowControl/>
              <w:pBdr>
                <w:bottom w:val="single" w:sz="6" w:space="0" w:color="F2F2F2"/>
              </w:pBdr>
              <w:spacing w:line="400" w:lineRule="exact"/>
              <w:jc w:val="center"/>
              <w:textAlignment w:val="baseline"/>
              <w:outlineLvl w:val="4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</w:rPr>
            </w:pPr>
            <w:r w:rsidRPr="002A6C07"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  <w:t>附加檔案</w:t>
            </w:r>
          </w:p>
        </w:tc>
        <w:tc>
          <w:tcPr>
            <w:tcW w:w="6174" w:type="dxa"/>
            <w:shd w:val="clear" w:color="auto" w:fill="FFF2CC" w:themeFill="accent4" w:themeFillTint="33"/>
          </w:tcPr>
          <w:p w:rsidR="009A2252" w:rsidRPr="009A2252" w:rsidRDefault="009A2252" w:rsidP="009A2252">
            <w:pPr>
              <w:widowControl/>
              <w:spacing w:line="400" w:lineRule="exact"/>
              <w:textAlignment w:val="baseline"/>
              <w:rPr>
                <w:rFonts w:ascii="標楷體" w:eastAsia="標楷體" w:hAnsi="標楷體"/>
                <w:color w:val="808080" w:themeColor="background1" w:themeShade="80"/>
                <w:sz w:val="28"/>
                <w:szCs w:val="28"/>
                <w:u w:val="single"/>
              </w:rPr>
            </w:pPr>
            <w:hyperlink r:id="rId5" w:tgtFrame="_blank" w:tooltip="人工珊瑚礁的建置方法_.pdf檔案下載(另開新視窗)" w:history="1">
              <w:r w:rsidRPr="009A2252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人工珊瑚礁的建置方法</w:t>
              </w:r>
            </w:hyperlink>
          </w:p>
          <w:p w:rsidR="00212191" w:rsidRPr="002A6C07" w:rsidRDefault="009A2252" w:rsidP="009A2252">
            <w:pPr>
              <w:widowControl/>
              <w:spacing w:line="400" w:lineRule="exact"/>
              <w:textAlignment w:val="baseline"/>
              <w:rPr>
                <w:rFonts w:ascii="標楷體" w:eastAsia="標楷體" w:hAnsi="標楷體" w:hint="eastAsia"/>
                <w:color w:val="808080" w:themeColor="background1" w:themeShade="80"/>
                <w:sz w:val="28"/>
                <w:szCs w:val="28"/>
              </w:rPr>
            </w:pPr>
            <w:hyperlink r:id="rId6" w:tgtFrame="_blank" w:tooltip="公告本館人工珊瑚礁的建置方法(發明 I251463)_.docx檔案下載(另開新視窗)" w:history="1">
              <w:r w:rsidRPr="009A2252">
                <w:rPr>
                  <w:rFonts w:ascii="標楷體" w:eastAsia="標楷體" w:hAnsi="標楷體"/>
                  <w:color w:val="808080" w:themeColor="background1" w:themeShade="80"/>
                  <w:sz w:val="28"/>
                  <w:szCs w:val="28"/>
                  <w:u w:val="single"/>
                </w:rPr>
                <w:t>公告本館人工珊瑚礁的建置方法(發明 I251463)</w:t>
              </w:r>
            </w:hyperlink>
          </w:p>
        </w:tc>
      </w:tr>
    </w:tbl>
    <w:p w:rsidR="00BE0F38" w:rsidRDefault="00BE0F38" w:rsidP="00BE0F38">
      <w:pPr>
        <w:spacing w:line="400" w:lineRule="exact"/>
        <w:rPr>
          <w:rFonts w:hint="eastAsia"/>
        </w:rPr>
      </w:pPr>
      <w:bookmarkStart w:id="1" w:name="_GoBack"/>
      <w:bookmarkEnd w:id="1"/>
    </w:p>
    <w:sectPr w:rsidR="00BE0F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0C8F"/>
    <w:multiLevelType w:val="multilevel"/>
    <w:tmpl w:val="EE04A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C36D20"/>
    <w:multiLevelType w:val="multilevel"/>
    <w:tmpl w:val="87D6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38"/>
    <w:rsid w:val="000E14BB"/>
    <w:rsid w:val="00212191"/>
    <w:rsid w:val="002A6C07"/>
    <w:rsid w:val="003B19AD"/>
    <w:rsid w:val="005059A8"/>
    <w:rsid w:val="009A2252"/>
    <w:rsid w:val="00BE0F38"/>
    <w:rsid w:val="00D22C0C"/>
    <w:rsid w:val="00E0565B"/>
    <w:rsid w:val="00E739B7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6E41B"/>
  <w15:chartTrackingRefBased/>
  <w15:docId w15:val="{C6712AEB-DCD6-4FF3-80BC-3088914D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E0F3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5">
    <w:name w:val="heading 5"/>
    <w:basedOn w:val="a"/>
    <w:link w:val="50"/>
    <w:uiPriority w:val="9"/>
    <w:qFormat/>
    <w:rsid w:val="00BE0F38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BE0F3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50">
    <w:name w:val="標題 5 字元"/>
    <w:basedOn w:val="a0"/>
    <w:link w:val="5"/>
    <w:uiPriority w:val="9"/>
    <w:rsid w:val="00BE0F38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social-links-tooltip">
    <w:name w:val="social-links-tooltip"/>
    <w:basedOn w:val="a0"/>
    <w:rsid w:val="00BE0F38"/>
  </w:style>
  <w:style w:type="character" w:styleId="a3">
    <w:name w:val="Hyperlink"/>
    <w:basedOn w:val="a0"/>
    <w:uiPriority w:val="99"/>
    <w:semiHidden/>
    <w:unhideWhenUsed/>
    <w:rsid w:val="00BE0F38"/>
    <w:rPr>
      <w:color w:val="0000FF"/>
      <w:u w:val="single"/>
    </w:rPr>
  </w:style>
  <w:style w:type="character" w:customStyle="1" w:styleId="vv-titletime">
    <w:name w:val="vv-title_time"/>
    <w:basedOn w:val="a0"/>
    <w:rsid w:val="00BE0F38"/>
  </w:style>
  <w:style w:type="character" w:customStyle="1" w:styleId="kf-counticon">
    <w:name w:val="kf-count_icon"/>
    <w:basedOn w:val="a0"/>
    <w:rsid w:val="00BE0F38"/>
  </w:style>
  <w:style w:type="table" w:styleId="a4">
    <w:name w:val="Table Grid"/>
    <w:basedOn w:val="a1"/>
    <w:uiPriority w:val="39"/>
    <w:rsid w:val="00BE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9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8" w:color="5EA4F4"/>
                    <w:right w:val="none" w:sz="0" w:space="0" w:color="auto"/>
                  </w:divBdr>
                </w:div>
                <w:div w:id="2054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89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5124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6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8464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03805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1632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7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4635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5311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  <w:div w:id="19683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C3C3C3"/>
                        <w:right w:val="none" w:sz="0" w:space="0" w:color="auto"/>
                      </w:divBdr>
                      <w:divsChild>
                        <w:div w:id="2674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1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6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C3C3C3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7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cademia.nmmba.gov.tw/FileDownload/HoldPatentCollections/20160312163203998895815.docx" TargetMode="External"/><Relationship Id="rId5" Type="http://schemas.openxmlformats.org/officeDocument/2006/relationships/hyperlink" Target="http://academia.nmmba.gov.tw/FileDownload/HoldPatentCollections/2016031216320396769453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劉娜娜</dc:creator>
  <cp:keywords/>
  <dc:description/>
  <cp:lastModifiedBy>劉娜娜</cp:lastModifiedBy>
  <cp:revision>8</cp:revision>
  <dcterms:created xsi:type="dcterms:W3CDTF">2018-01-31T08:28:00Z</dcterms:created>
  <dcterms:modified xsi:type="dcterms:W3CDTF">2018-01-31T08:59:00Z</dcterms:modified>
</cp:coreProperties>
</file>