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Walk-Forward Strategy Search: Operating Parameters</w:t>
      </w:r>
    </w:p>
    <w:p>
      <w:pPr>
        <w:spacing w:after="200"/>
        <w:jc w:val="center"/>
      </w:pPr>
      <w:r>
        <w:rPr>
          <w:rFonts w:ascii="Calibri" w:cs="Calibri" w:eastAsia="Calibri" w:hAnsi="Calibri"/>
          <w:color w:val="444444"/>
          <w:sz w:val="22"/>
          <w:szCs w:val="22"/>
        </w:rPr>
        <w:t xml:space="preserve">Part 2 - Every parameter of the system, its value, and why</w:t>
      </w:r>
    </w:p>
    <w:p>
      <w:pPr>
        <w:pStyle w:val="Heading1"/>
        <w:spacing w:after="90" w:before="210"/>
      </w:pPr>
      <w:r>
        <w:rPr>
          <w:rFonts w:ascii="Calibri" w:cs="Calibri" w:eastAsia="Calibri" w:hAnsi="Calibri"/>
          <w:b/>
          <w:bCs/>
          <w:color w:val="1F3864"/>
          <w:sz w:val="27"/>
          <w:szCs w:val="27"/>
        </w:rPr>
        <w:t xml:space="preserve">1. The protocol on a calendar</w:t>
      </w:r>
    </w:p>
    <w:p>
      <w:pPr>
        <w:spacing w:after="110"/>
      </w:pPr>
      <w:r>
        <w:rPr>
          <w:rFonts w:ascii="Calibri" w:cs="Calibri" w:eastAsia="Calibri" w:hAnsi="Calibri"/>
          <w:sz w:val="22"/>
          <w:szCs w:val="22"/>
        </w:rPr>
        <w:t xml:space="preserve">The system operates on two nested clocks. The slow clock retrains: every 1 January and 1 July, the entire search of Part 1 is re-run using only the trailing two years of data, and its single winning strategy is frozen. The fast clock trades: for the following six months, that frozen strategy rebalances its portfolio every two weeks at the Friday close. Worked example: the window deployed on 1 January 2015 was selected by a search over January 2013 - December 2014 data; it trades fortnightly through 30 June 2015; on 1 July 2015 a fresh search over July 2013 - June 2015 crowns a possibly different strategy. The evaluation spans 1 January 2015 to 30 June 2026: 23 deployment windows, each fully out-of-sample for the strategy chosen in it, stitched into one continuous equity curve with capital carried across strategy switches.</w:t>
      </w:r>
    </w:p>
    <w:p>
      <w:pPr>
        <w:pStyle w:val="Heading1"/>
        <w:spacing w:after="90" w:before="210"/>
      </w:pPr>
      <w:r>
        <w:rPr>
          <w:rFonts w:ascii="Calibri" w:cs="Calibri" w:eastAsia="Calibri" w:hAnsi="Calibri"/>
          <w:b/>
          <w:bCs/>
          <w:color w:val="1F3864"/>
          <w:sz w:val="27"/>
          <w:szCs w:val="27"/>
        </w:rPr>
        <w:t xml:space="preserve">2. Temporal parameters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00"/>
      </w:tblGrid>
      <w:tr>
        <w:tc>
          <w:tcPr>
            <w:tcW w:type="dxa" w:w="26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Parameter</w:t>
            </w:r>
          </w:p>
        </w:tc>
        <w:tc>
          <w:tcPr>
            <w:tcW w:type="dxa" w:w="22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Value</w:t>
            </w:r>
          </w:p>
        </w:tc>
        <w:tc>
          <w:tcPr>
            <w:tcW w:type="dxa" w:w="52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Rationale</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Training lookback</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2 years (~500 days)</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Long enough to estimate a cross-sectional edge; short enough to forget dead regimes. Roughly 52 rebalances per training backtest.</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Retraining cadence</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Every 6 months (1 Jan / 1 Jul)</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Matches the horizon over which style leadership persists in this market; more frequent retraining chases noise, less frequent overstays regimes.</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Portfolio re-evaluation</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Every 2 weeks (Friday close)</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Fast enough to exit dying trends (average holding ~4 weeks); slow enough that costs at 27x annual turnover stay ~4-5%/yr.</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Evaluation span</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Jan 2015 - Jun 2026</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23 windows covering two bear phases (2018-19, 2025), one crash (2020), and multiple style rotations.</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Signal warm-up</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Data from 2013</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All rolling and exponentially-weighted signals fully converged before the first 2015 trade.</w:t>
            </w:r>
          </w:p>
        </w:tc>
      </w:tr>
    </w:tbl>
    <w:p>
      <w:pPr>
        <w:pStyle w:val="Heading1"/>
        <w:spacing w:after="90" w:before="210"/>
      </w:pPr>
      <w:r>
        <w:rPr>
          <w:rFonts w:ascii="Calibri" w:cs="Calibri" w:eastAsia="Calibri" w:hAnsi="Calibri"/>
          <w:b/>
          <w:bCs/>
          <w:color w:val="1F3864"/>
          <w:sz w:val="27"/>
          <w:szCs w:val="27"/>
        </w:rPr>
        <w:t xml:space="preserve">3. Capital, costs and execution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00"/>
      </w:tblGrid>
      <w:tr>
        <w:tc>
          <w:tcPr>
            <w:tcW w:type="dxa" w:w="26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Parameter</w:t>
            </w:r>
          </w:p>
        </w:tc>
        <w:tc>
          <w:tcPr>
            <w:tcW w:type="dxa" w:w="22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Value</w:t>
            </w:r>
          </w:p>
        </w:tc>
        <w:tc>
          <w:tcPr>
            <w:tcW w:type="dxa" w:w="52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Rationale / assumption</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Starting capital</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Rs 1 crore</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Reporting convention; results scale linearly at this size.</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Position sizing</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Equal weight, 1/N</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No optimisation layer; isolates the ranking signal's contribution.</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Exposure</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Fully invested, long-only</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Cash held only when a market gate is off; cash earns 0%.</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Transaction cost</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0.1% per leg (0.2% round trip)</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Covers STT, stamp, exchange fees and modest spread for Rs 100+ crore/day names. Sensitivity mapped: 0 / 0.1% / 1% per leg gives materially graded results (Part 4).</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Execution model</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Fill at the signal close</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Signals computed at Friday close and filled at that close; live trading would fill Monday open - the gap is an acknowledged slippage source.</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Leverage / shorting</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None</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Bearish views expressed only through cash gates.</w:t>
            </w:r>
          </w:p>
        </w:tc>
      </w:tr>
    </w:tbl>
    <w:p>
      <w:pPr>
        <w:pStyle w:val="Heading1"/>
        <w:spacing w:after="90" w:before="210"/>
      </w:pPr>
      <w:r>
        <w:rPr>
          <w:rFonts w:ascii="Calibri" w:cs="Calibri" w:eastAsia="Calibri" w:hAnsi="Calibri"/>
          <w:b/>
          <w:bCs/>
          <w:color w:val="1F3864"/>
          <w:sz w:val="27"/>
          <w:szCs w:val="27"/>
        </w:rPr>
        <w:t xml:space="preserve">4. Universe and eligibility parameters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00"/>
      </w:tblGrid>
      <w:tr>
        <w:tc>
          <w:tcPr>
            <w:tcW w:type="dxa" w:w="26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Parameter</w:t>
            </w:r>
          </w:p>
        </w:tc>
        <w:tc>
          <w:tcPr>
            <w:tcW w:type="dxa" w:w="22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Value</w:t>
            </w:r>
          </w:p>
        </w:tc>
        <w:tc>
          <w:tcPr>
            <w:tcW w:type="dxa" w:w="52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Rationale</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Index universe</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NIFTY 100 + Midcap 100</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Mid/large caps only: executable position sizes and lower survivorship churn than smallcaps.</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Membership basis</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Point-in-time (archived lists)</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Constituents as they stood at each date, from Wayback snapshots of the NSE files (Part 3); ~181 names/day on average.</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Listing history</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&gt;= 12 months</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Every signal fully defined; excludes untested IPOs.</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Liquidity floor</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&gt;= Rs 1 crore/day (60d avg)</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Removes untradeable names before ranking.</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Volatility carve</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all / highvol / lowvol</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Searched, not fixed: each candidate declares its habitat.</w:t>
            </w:r>
          </w:p>
        </w:tc>
      </w:tr>
    </w:tbl>
    <w:p>
      <w:pPr>
        <w:pStyle w:val="Heading1"/>
        <w:spacing w:after="90" w:before="210"/>
      </w:pPr>
      <w:r>
        <w:rPr>
          <w:rFonts w:ascii="Calibri" w:cs="Calibri" w:eastAsia="Calibri" w:hAnsi="Calibri"/>
          <w:b/>
          <w:bCs/>
          <w:color w:val="1F3864"/>
          <w:sz w:val="27"/>
          <w:szCs w:val="27"/>
        </w:rPr>
        <w:t xml:space="preserve">5. Search hyperparameters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00"/>
      </w:tblGrid>
      <w:tr>
        <w:tc>
          <w:tcPr>
            <w:tcW w:type="dxa" w:w="26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Parameter</w:t>
            </w:r>
          </w:p>
        </w:tc>
        <w:tc>
          <w:tcPr>
            <w:tcW w:type="dxa" w:w="22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Value</w:t>
            </w:r>
          </w:p>
        </w:tc>
        <w:tc>
          <w:tcPr>
            <w:tcW w:type="dxa" w:w="52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Rationale</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Signal library</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45 bases, 9 families</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Part 1, Section 2.</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Blend width</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1 or 2 signals</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Pairs only, cross-family enforced; triples add little and multiply the search.</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Pair candidates</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Top 8 distinct singles</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Pairs are built from signals that already work alone.</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Portfolio size N</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{4, 8}</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Concentrated vs diversified, searched per candidate.</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Condition depth</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&lt;= 2 (of 7 conditions)</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Deeper condition stacks fit noise; measured on this data.</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Market gates</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&lt;= 2 (of 2 gates)</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Long-only bearishness.</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Beam width</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8</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Survivors carried between tree depths.</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Candidates per retrain</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~500</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270 singles + ~168 pairs + ~140 tree children (deduplicated).</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Selection criterion</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Highest trained total return</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Empirically compared against trained Sharpe and trained Calmar on identical searches: return-selection dominated both on deployed results; Calmar-selection Goodharted (worst realised drawdown of the three). Documented in Part 4.</w:t>
            </w:r>
          </w:p>
        </w:tc>
      </w:tr>
    </w:tbl>
    <w:p>
      <w:pPr>
        <w:pStyle w:val="Heading1"/>
        <w:spacing w:after="90" w:before="210"/>
      </w:pPr>
      <w:r>
        <w:rPr>
          <w:rFonts w:ascii="Calibri" w:cs="Calibri" w:eastAsia="Calibri" w:hAnsi="Calibri"/>
          <w:b/>
          <w:bCs/>
          <w:color w:val="1F3864"/>
          <w:sz w:val="27"/>
          <w:szCs w:val="27"/>
        </w:rPr>
        <w:t xml:space="preserve">6. What is searched vs. what is fixed</w:t>
      </w:r>
    </w:p>
    <w:p>
      <w:pPr>
        <w:spacing w:after="110"/>
      </w:pPr>
      <w:r>
        <w:rPr>
          <w:rFonts w:ascii="Calibri" w:cs="Calibri" w:eastAsia="Calibri" w:hAnsi="Calibri"/>
          <w:sz w:val="22"/>
          <w:szCs w:val="22"/>
        </w:rPr>
        <w:t xml:space="preserve">A distinction the results depend on: the five components of a candidate (signals, universe carve, N, conditions, gates) are searched at every retraining - the system may change any of them every six months. The meta-parameters of this section (2-year lookback, 6-month cadence, fortnightly rebalancing, cost level, eligibility floors, beam width, depth) were fixed a priori and never optimised against outcomes. This separation is deliberate: it keeps the out-of-sample claim clean - the only quantity ever selected on performance is the strategy deployed in each window, and it is selected using only data available before that window begins. The known residual exception is the signal library itself, whose composition partly reflects earlier research on overlapping data; widening the library from 10 to 34 to 45 bases changed full-period results by under one percentage point of CAGR, which bounds the sensitivity to this choice.</w:t>
      </w:r>
    </w:p>
    <w:p>
      <w:pPr>
        <w:pStyle w:val="Heading1"/>
        <w:spacing w:after="90" w:before="210"/>
      </w:pPr>
      <w:r>
        <w:rPr>
          <w:rFonts w:ascii="Calibri" w:cs="Calibri" w:eastAsia="Calibri" w:hAnsi="Calibri"/>
          <w:b/>
          <w:bCs/>
          <w:color w:val="1F3864"/>
          <w:sz w:val="27"/>
          <w:szCs w:val="27"/>
        </w:rPr>
        <w:t xml:space="preserve">7. Reported metrics and their definitions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00"/>
      </w:tblGrid>
      <w:tr>
        <w:tc>
          <w:tcPr>
            <w:tcW w:type="dxa" w:w="26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Metric</w:t>
            </w:r>
          </w:p>
        </w:tc>
        <w:tc>
          <w:tcPr>
            <w:tcW w:type="dxa" w:w="22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Definition</w:t>
            </w:r>
          </w:p>
        </w:tc>
        <w:tc>
          <w:tcPr>
            <w:tcW w:type="dxa" w:w="5200"/>
            <w:shd w:fill="DDE5F3" w:val="clear"/>
            <w:tcMar>
              <w:top w:type="dxa" w:w="28"/>
              <w:left w:type="dxa" w:w="70"/>
              <w:bottom w:type="dxa" w:w="28"/>
              <w:right w:type="dxa" w:w="70"/>
            </w:tcMar>
          </w:tcPr>
          <w:p>
            <w:pPr>
              <w:spacing w:after="0"/>
              <w:jc w:val="left"/>
            </w:pPr>
            <w:r>
              <w:rPr>
                <w:rFonts w:ascii="Calibri" w:cs="Calibri" w:eastAsia="Calibri" w:hAnsi="Calibri"/>
                <w:b/>
                <w:bCs/>
                <w:sz w:val="18"/>
                <w:szCs w:val="18"/>
              </w:rPr>
              <w:t xml:space="preserve">Note</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Net worth / CAGR</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Terminal value of the stitched equity curve from Rs 1 crore; geometric annual rate</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Capital carried continuously across strategy switches.</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Sharpe (annualised)</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Mean daily return / sd of daily returns x sqrt(252)</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Computed on the stitched daily curve; also reported per deployment window.</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Maximum drawdown</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Worst peak-to-trough decline of the stitched curve</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The system's dominant risk figure.</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Windows positive</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Count of 6-month deployments with positive return</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The process-level hit rate (x of 23).</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Trained vs deployed</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Each window's training-period return next to its realised return</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Their ratio measures selection inflation (winner's curse) directly.</w:t>
            </w:r>
          </w:p>
        </w:tc>
      </w:tr>
      <w:tr>
        <w:tc>
          <w:tcPr>
            <w:tcW w:type="dxa" w:w="26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Benchmarks</w:t>
            </w:r>
          </w:p>
        </w:tc>
        <w:tc>
          <w:tcPr>
            <w:tcW w:type="dxa" w:w="2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NIFTY 100 index, Midcap 100 index, PIT equal-weight composite, today's-list composite</w:t>
            </w:r>
          </w:p>
        </w:tc>
        <w:tc>
          <w:tcPr>
            <w:tcW w:type="dxa" w:w="5200"/>
            <w:tcMar>
              <w:top w:type="dxa" w:w="28"/>
              <w:left w:type="dxa" w:w="70"/>
              <w:bottom w:type="dxa" w:w="28"/>
              <w:right w:type="dxa" w:w="70"/>
            </w:tcMar>
          </w:tcPr>
          <w:p>
            <w:pPr>
              <w:spacing w:after="0"/>
              <w:jc w:val="left"/>
            </w:pPr>
            <w:r>
              <w:rPr>
                <w:rFonts w:ascii="Calibri" w:cs="Calibri" w:eastAsia="Calibri" w:hAnsi="Calibri"/>
                <w:b w:val="false"/>
                <w:bCs w:val="false"/>
                <w:sz w:val="18"/>
                <w:szCs w:val="18"/>
              </w:rPr>
              <w:t xml:space="preserve">The PIT composite is the bias-matched yardstick; index-vs-composite gaps display survivorship visibly.</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2026-09-13T14:37:51.814Z</dcterms:created>
  <dcterms:modified xsi:type="dcterms:W3CDTF">2026-09-13T14:37:51.824Z</dcterms:modified>
</cp:coreProperties>
</file>

<file path=docProps/custom.xml><?xml version="1.0" encoding="utf-8"?>
<Properties xmlns="http://schemas.openxmlformats.org/officeDocument/2006/custom-properties" xmlns:vt="http://schemas.openxmlformats.org/officeDocument/2006/docPropsVTypes"/>
</file>