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2"/>
          <w:szCs w:val="32"/>
        </w:rPr>
        <w:t xml:space="preserve">Walk-Forward Strategy Search: Search-Space Specification</w:t>
      </w:r>
    </w:p>
    <w:p>
      <w:pPr>
        <w:spacing w:after="200"/>
        <w:jc w:val="center"/>
      </w:pPr>
      <w:r>
        <w:rPr>
          <w:rFonts w:ascii="Calibri" w:cs="Calibri" w:eastAsia="Calibri" w:hAnsi="Calibri"/>
          <w:color w:val="444444"/>
          <w:sz w:val="22"/>
          <w:szCs w:val="22"/>
        </w:rPr>
        <w:t xml:space="preserve">Part 1 - The complete set of candidate strategies evaluated at every retraining</w:t>
      </w:r>
    </w:p>
    <w:p>
      <w:pPr>
        <w:pStyle w:val="Heading1"/>
        <w:spacing w:after="90" w:before="210"/>
      </w:pPr>
      <w:r>
        <w:rPr>
          <w:rFonts w:ascii="Calibri" w:cs="Calibri" w:eastAsia="Calibri" w:hAnsi="Calibri"/>
          <w:b/>
          <w:bCs/>
          <w:color w:val="1F3864"/>
          <w:sz w:val="27"/>
          <w:szCs w:val="27"/>
        </w:rPr>
        <w:t xml:space="preserve">1. What one candidate strategy is</w:t>
      </w:r>
    </w:p>
    <w:p>
      <w:pPr>
        <w:spacing w:after="110"/>
      </w:pPr>
      <w:r>
        <w:rPr>
          <w:rFonts w:ascii="Calibri" w:cs="Calibri" w:eastAsia="Calibri" w:hAnsi="Calibri"/>
          <w:sz w:val="22"/>
          <w:szCs w:val="22"/>
        </w:rPr>
        <w:t xml:space="preserve">Every candidate the search evaluates is a complete portfolio rule defined by five components: (i) a signal blend - one or two ranking signals from the library in Section 2, combined as the sum of their cross-sectional z-scores; (ii) a universe variant - all eligible stocks, the more-volatile half, or the less-volatile half (Section 3); (iii) a portfolio size N of 4 or 8 stocks, equal-weighted; (iv) zero to two AND-conditions - stock-level filters that must hold for a stock to be a candidate (Section 5); and (v) zero to two market gates - portfolio-level switches that move the entire book to cash when the market condition fails (Section 5). At every fortnightly rebalance the rule ranks all stocks passing its universe, conditions and gates by its blended z-score and holds the top N at equal weight until the next rebalance.</w:t>
      </w:r>
    </w:p>
    <w:p>
      <w:pPr>
        <w:spacing w:after="110"/>
      </w:pPr>
      <w:r>
        <w:rPr>
          <w:rFonts w:ascii="Calibri" w:cs="Calibri" w:eastAsia="Calibri" w:hAnsi="Calibri"/>
          <w:i/>
          <w:iCs/>
          <w:sz w:val="22"/>
          <w:szCs w:val="22"/>
        </w:rPr>
        <w:t xml:space="preserve">Example - the string  amihud&amp;mom_3m_highvol_n4|vol_above_med|gate_mkt_200dma  decodes as: rank by z(Amihud illiquidity) + z(3-month momentum), within the more-volatile half of the eligible universe, hold the top 4 equally, only among stocks with above-median volatility, and hold cash whenever the market is below its 200-day average.</w:t>
      </w:r>
    </w:p>
    <w:p>
      <w:pPr>
        <w:pStyle w:val="Heading1"/>
        <w:spacing w:after="90" w:before="210"/>
      </w:pPr>
      <w:r>
        <w:rPr>
          <w:rFonts w:ascii="Calibri" w:cs="Calibri" w:eastAsia="Calibri" w:hAnsi="Calibri"/>
          <w:b/>
          <w:bCs/>
          <w:color w:val="1F3864"/>
          <w:sz w:val="27"/>
          <w:szCs w:val="27"/>
        </w:rPr>
        <w:t xml:space="preserve">2. The signal library: 45 base signals in 9 style families</w:t>
      </w:r>
    </w:p>
    <w:p>
      <w:pPr>
        <w:spacing w:after="110"/>
      </w:pPr>
      <w:r>
        <w:rPr>
          <w:rFonts w:ascii="Calibri" w:cs="Calibri" w:eastAsia="Calibri" w:hAnsi="Calibri"/>
          <w:sz w:val="22"/>
          <w:szCs w:val="22"/>
        </w:rPr>
        <w:t xml:space="preserve">All signals are computed from daily adjusted closing prices and volumes only. z() denotes the cross-sectional z-score on the rebalance date; higher score = more attractive. Signals prefixed with a minus sign in the formula are inverted so that the stated economic bet reads in the buying direction.</w:t>
      </w:r>
    </w:p>
    <w:p>
      <w:pPr>
        <w:pStyle w:val="Heading2"/>
        <w:spacing w:after="70" w:before="150"/>
      </w:pPr>
      <w:r>
        <w:rPr>
          <w:rFonts w:ascii="Calibri" w:cs="Calibri" w:eastAsia="Calibri" w:hAnsi="Calibri"/>
          <w:b/>
          <w:bCs/>
          <w:color w:val="2E5395"/>
          <w:sz w:val="23"/>
          <w:szCs w:val="23"/>
        </w:rPr>
        <w:t xml:space="preserve">2.1 Trend / momentum (13 signals)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300"/>
        <w:gridCol w:w="7700"/>
      </w:tblGrid>
      <w:tr>
        <w:tc>
          <w:tcPr>
            <w:tcW w:type="dxa" w:w="2300"/>
            <w:shd w:fill="DDE5F3" w:val="clear"/>
            <w:tcMar>
              <w:top w:type="dxa" w:w="28"/>
              <w:left w:type="dxa" w:w="70"/>
              <w:bottom w:type="dxa" w:w="28"/>
              <w:right w:type="dxa" w:w="70"/>
            </w:tcMar>
          </w:tcPr>
          <w:p>
            <w:pPr>
              <w:spacing w:after="0"/>
              <w:jc w:val="left"/>
            </w:pPr>
            <w:r>
              <w:rPr>
                <w:rFonts w:ascii="Calibri" w:cs="Calibri" w:eastAsia="Calibri" w:hAnsi="Calibri"/>
                <w:b/>
                <w:bCs/>
                <w:sz w:val="18"/>
                <w:szCs w:val="18"/>
              </w:rPr>
              <w:t xml:space="preserve">Signal</w:t>
            </w:r>
          </w:p>
        </w:tc>
        <w:tc>
          <w:tcPr>
            <w:tcW w:type="dxa" w:w="7700"/>
            <w:shd w:fill="DDE5F3" w:val="clear"/>
            <w:tcMar>
              <w:top w:type="dxa" w:w="28"/>
              <w:left w:type="dxa" w:w="70"/>
              <w:bottom w:type="dxa" w:w="28"/>
              <w:right w:type="dxa" w:w="70"/>
            </w:tcMar>
          </w:tcPr>
          <w:p>
            <w:pPr>
              <w:spacing w:after="0"/>
              <w:jc w:val="left"/>
            </w:pPr>
            <w:r>
              <w:rPr>
                <w:rFonts w:ascii="Calibri" w:cs="Calibri" w:eastAsia="Calibri" w:hAnsi="Calibri"/>
                <w:b/>
                <w:bCs/>
                <w:sz w:val="18"/>
                <w:szCs w:val="18"/>
              </w:rPr>
              <w:t xml:space="preserve">Definition and economic bet</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mom_3m / mom_6m</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3-month / 6-month price return. Classic medium-term momentum: winners keep winning.</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mom_12_1</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12-month return skipping the most recent month (the academic momentum definition; avoids short-term reversal).</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macd_5_35 / macd_12_26</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Fast EMA minus slow EMA, scaled by price. Recency-weighted trend at two speeds.</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trix_15</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Rate of change of a triple-smoothed 15-day EMA. Very smooth trend signal.</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kst</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Know-Sure-Thing: weighted sum of four smoothed rates of change (10-30 day). Multi-horizon trend.</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px_sma50 / px_sma200</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Price relative to its 50-day / 200-day moving average. Simple trend position.</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ma_cross_50_200</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50-day MA over 200-day MA (golden-cross strength).</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adx_14</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Wilder's Average Directional Index: strength of trend regardless of direction; buys persistent movers.</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dmi_diff</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Directional movement (+DI minus -DI): trend strength with direction.</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dist_52wh</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Price as a fraction of its 52-week high; near-high stocks continue (anchoring effect).</w:t>
            </w:r>
          </w:p>
        </w:tc>
      </w:tr>
    </w:tbl>
    <w:p>
      <w:pPr>
        <w:spacing w:after="80"/>
      </w:pPr>
    </w:p>
    <w:p>
      <w:pPr>
        <w:pStyle w:val="Heading2"/>
        <w:spacing w:after="70" w:before="150"/>
      </w:pPr>
      <w:r>
        <w:rPr>
          <w:rFonts w:ascii="Calibri" w:cs="Calibri" w:eastAsia="Calibri" w:hAnsi="Calibri"/>
          <w:b/>
          <w:bCs/>
          <w:color w:val="2E5395"/>
          <w:sz w:val="23"/>
          <w:szCs w:val="23"/>
        </w:rPr>
        <w:t xml:space="preserve">2.2 Contrarian / mean-reversion (6 signals)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300"/>
        <w:gridCol w:w="7700"/>
      </w:tblGrid>
      <w:tr>
        <w:tc>
          <w:tcPr>
            <w:tcW w:type="dxa" w:w="2300"/>
            <w:shd w:fill="DDE5F3" w:val="clear"/>
            <w:tcMar>
              <w:top w:type="dxa" w:w="28"/>
              <w:left w:type="dxa" w:w="70"/>
              <w:bottom w:type="dxa" w:w="28"/>
              <w:right w:type="dxa" w:w="70"/>
            </w:tcMar>
          </w:tcPr>
          <w:p>
            <w:pPr>
              <w:spacing w:after="0"/>
              <w:jc w:val="left"/>
            </w:pPr>
            <w:r>
              <w:rPr>
                <w:rFonts w:ascii="Calibri" w:cs="Calibri" w:eastAsia="Calibri" w:hAnsi="Calibri"/>
                <w:b/>
                <w:bCs/>
                <w:sz w:val="18"/>
                <w:szCs w:val="18"/>
              </w:rPr>
              <w:t xml:space="preserve">Signal</w:t>
            </w:r>
          </w:p>
        </w:tc>
        <w:tc>
          <w:tcPr>
            <w:tcW w:type="dxa" w:w="7700"/>
            <w:shd w:fill="DDE5F3" w:val="clear"/>
            <w:tcMar>
              <w:top w:type="dxa" w:w="28"/>
              <w:left w:type="dxa" w:w="70"/>
              <w:bottom w:type="dxa" w:w="28"/>
              <w:right w:type="dxa" w:w="70"/>
            </w:tcMar>
          </w:tcPr>
          <w:p>
            <w:pPr>
              <w:spacing w:after="0"/>
              <w:jc w:val="left"/>
            </w:pPr>
            <w:r>
              <w:rPr>
                <w:rFonts w:ascii="Calibri" w:cs="Calibri" w:eastAsia="Calibri" w:hAnsi="Calibri"/>
                <w:b/>
                <w:bCs/>
                <w:sz w:val="18"/>
                <w:szCs w:val="18"/>
              </w:rPr>
              <w:t xml:space="preserve">Definition and economic bet</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rev_1m / rev_6m</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Negative of the 1-month / 6-month return: buy recent losers (short-term reversal / longer overreaction).</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rsi_oversold</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Negative RSI(14): buy the most oversold names.</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stoch_oversold</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Negative stochastic %K(14): price near the bottom of its recent range.</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near_52wl</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Buy stocks closest to their 52-week low (deep-value / capitulation bet).</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bb_lower</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Distance below the lower Bollinger band (20-day, 2 sd): statistical oversold.</w:t>
            </w:r>
          </w:p>
        </w:tc>
      </w:tr>
    </w:tbl>
    <w:p>
      <w:pPr>
        <w:spacing w:after="80"/>
      </w:pPr>
    </w:p>
    <w:p>
      <w:pPr>
        <w:pStyle w:val="Heading2"/>
        <w:spacing w:after="70" w:before="150"/>
      </w:pPr>
      <w:r>
        <w:rPr>
          <w:rFonts w:ascii="Calibri" w:cs="Calibri" w:eastAsia="Calibri" w:hAnsi="Calibri"/>
          <w:b/>
          <w:bCs/>
          <w:color w:val="2E5395"/>
          <w:sz w:val="23"/>
          <w:szCs w:val="23"/>
        </w:rPr>
        <w:t xml:space="preserve">2.3 Defensive / low-risk (7 signals)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300"/>
        <w:gridCol w:w="7700"/>
      </w:tblGrid>
      <w:tr>
        <w:tc>
          <w:tcPr>
            <w:tcW w:type="dxa" w:w="2300"/>
            <w:shd w:fill="DDE5F3" w:val="clear"/>
            <w:tcMar>
              <w:top w:type="dxa" w:w="28"/>
              <w:left w:type="dxa" w:w="70"/>
              <w:bottom w:type="dxa" w:w="28"/>
              <w:right w:type="dxa" w:w="70"/>
            </w:tcMar>
          </w:tcPr>
          <w:p>
            <w:pPr>
              <w:spacing w:after="0"/>
              <w:jc w:val="left"/>
            </w:pPr>
            <w:r>
              <w:rPr>
                <w:rFonts w:ascii="Calibri" w:cs="Calibri" w:eastAsia="Calibri" w:hAnsi="Calibri"/>
                <w:b/>
                <w:bCs/>
                <w:sz w:val="18"/>
                <w:szCs w:val="18"/>
              </w:rPr>
              <w:t xml:space="preserve">Signal</w:t>
            </w:r>
          </w:p>
        </w:tc>
        <w:tc>
          <w:tcPr>
            <w:tcW w:type="dxa" w:w="7700"/>
            <w:shd w:fill="DDE5F3" w:val="clear"/>
            <w:tcMar>
              <w:top w:type="dxa" w:w="28"/>
              <w:left w:type="dxa" w:w="70"/>
              <w:bottom w:type="dxa" w:w="28"/>
              <w:right w:type="dxa" w:w="70"/>
            </w:tcMar>
          </w:tcPr>
          <w:p>
            <w:pPr>
              <w:spacing w:after="0"/>
              <w:jc w:val="left"/>
            </w:pPr>
            <w:r>
              <w:rPr>
                <w:rFonts w:ascii="Calibri" w:cs="Calibri" w:eastAsia="Calibri" w:hAnsi="Calibri"/>
                <w:b/>
                <w:bCs/>
                <w:sz w:val="18"/>
                <w:szCs w:val="18"/>
              </w:rPr>
              <w:t xml:space="preserve">Definition and economic bet</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lowvol_60 / lowvol_20</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Negative 60-day / 20-day annualised volatility: the low-volatility anomaly.</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low_beta</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Negative rolling 120-day beta to the equal-weight universe: betting-against-beta.</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low_atr</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Negative average true range over price: calm price action.</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above_200_persist</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Fraction of the last 60 days spent above the 200-day MA: durable uptrend residence.</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dd_resist</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Shallowest maximum drawdown over 6 months: crash-resistant names.</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updays_1m</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Fraction of up-days in the last month: steady grinders.</w:t>
            </w:r>
          </w:p>
        </w:tc>
      </w:tr>
    </w:tbl>
    <w:p>
      <w:pPr>
        <w:spacing w:after="80"/>
      </w:pPr>
    </w:p>
    <w:p>
      <w:pPr>
        <w:pStyle w:val="Heading2"/>
        <w:spacing w:after="70" w:before="150"/>
      </w:pPr>
      <w:r>
        <w:rPr>
          <w:rFonts w:ascii="Calibri" w:cs="Calibri" w:eastAsia="Calibri" w:hAnsi="Calibri"/>
          <w:b/>
          <w:bCs/>
          <w:color w:val="2E5395"/>
          <w:sz w:val="23"/>
          <w:szCs w:val="23"/>
        </w:rPr>
        <w:t xml:space="preserve">2.4 Quality of returns (4) and path quality (1)</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300"/>
        <w:gridCol w:w="7700"/>
      </w:tblGrid>
      <w:tr>
        <w:tc>
          <w:tcPr>
            <w:tcW w:type="dxa" w:w="2300"/>
            <w:shd w:fill="DDE5F3" w:val="clear"/>
            <w:tcMar>
              <w:top w:type="dxa" w:w="28"/>
              <w:left w:type="dxa" w:w="70"/>
              <w:bottom w:type="dxa" w:w="28"/>
              <w:right w:type="dxa" w:w="70"/>
            </w:tcMar>
          </w:tcPr>
          <w:p>
            <w:pPr>
              <w:spacing w:after="0"/>
              <w:jc w:val="left"/>
            </w:pPr>
            <w:r>
              <w:rPr>
                <w:rFonts w:ascii="Calibri" w:cs="Calibri" w:eastAsia="Calibri" w:hAnsi="Calibri"/>
                <w:b/>
                <w:bCs/>
                <w:sz w:val="18"/>
                <w:szCs w:val="18"/>
              </w:rPr>
              <w:t xml:space="preserve">Signal</w:t>
            </w:r>
          </w:p>
        </w:tc>
        <w:tc>
          <w:tcPr>
            <w:tcW w:type="dxa" w:w="7700"/>
            <w:shd w:fill="DDE5F3" w:val="clear"/>
            <w:tcMar>
              <w:top w:type="dxa" w:w="28"/>
              <w:left w:type="dxa" w:w="70"/>
              <w:bottom w:type="dxa" w:w="28"/>
              <w:right w:type="dxa" w:w="70"/>
            </w:tcMar>
          </w:tcPr>
          <w:p>
            <w:pPr>
              <w:spacing w:after="0"/>
              <w:jc w:val="left"/>
            </w:pPr>
            <w:r>
              <w:rPr>
                <w:rFonts w:ascii="Calibri" w:cs="Calibri" w:eastAsia="Calibri" w:hAnsi="Calibri"/>
                <w:b/>
                <w:bCs/>
                <w:sz w:val="18"/>
                <w:szCs w:val="18"/>
              </w:rPr>
              <w:t xml:space="preserve">Definition and economic bet</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sharpe_6m / sortino_6m</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6-month return over (downside) volatility: risk-efficient winners.</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calmar_6m</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6-month return over the depth of its worst drawdown in that window.</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trend_r2</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R-squared of a 6-month linear fit to log price, signed by the trend's direction: the smoothest trends.</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eff_ratio_6m</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Kaufman efficiency ratio: net 6-month move divided by the sum of daily moves - straight-line movers over zigzaggers.</w:t>
            </w:r>
          </w:p>
        </w:tc>
      </w:tr>
    </w:tbl>
    <w:p>
      <w:pPr>
        <w:spacing w:after="80"/>
      </w:pPr>
    </w:p>
    <w:p>
      <w:pPr>
        <w:pStyle w:val="Heading2"/>
        <w:spacing w:after="70" w:before="150"/>
      </w:pPr>
      <w:r>
        <w:rPr>
          <w:rFonts w:ascii="Calibri" w:cs="Calibri" w:eastAsia="Calibri" w:hAnsi="Calibri"/>
          <w:b/>
          <w:bCs/>
          <w:color w:val="2E5395"/>
          <w:sz w:val="23"/>
          <w:szCs w:val="23"/>
        </w:rPr>
        <w:t xml:space="preserve">2.5 Flow / liquidity (6 signals)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300"/>
        <w:gridCol w:w="7700"/>
      </w:tblGrid>
      <w:tr>
        <w:tc>
          <w:tcPr>
            <w:tcW w:type="dxa" w:w="2300"/>
            <w:shd w:fill="DDE5F3" w:val="clear"/>
            <w:tcMar>
              <w:top w:type="dxa" w:w="28"/>
              <w:left w:type="dxa" w:w="70"/>
              <w:bottom w:type="dxa" w:w="28"/>
              <w:right w:type="dxa" w:w="70"/>
            </w:tcMar>
          </w:tcPr>
          <w:p>
            <w:pPr>
              <w:spacing w:after="0"/>
              <w:jc w:val="left"/>
            </w:pPr>
            <w:r>
              <w:rPr>
                <w:rFonts w:ascii="Calibri" w:cs="Calibri" w:eastAsia="Calibri" w:hAnsi="Calibri"/>
                <w:b/>
                <w:bCs/>
                <w:sz w:val="18"/>
                <w:szCs w:val="18"/>
              </w:rPr>
              <w:t xml:space="preserve">Signal</w:t>
            </w:r>
          </w:p>
        </w:tc>
        <w:tc>
          <w:tcPr>
            <w:tcW w:type="dxa" w:w="7700"/>
            <w:shd w:fill="DDE5F3" w:val="clear"/>
            <w:tcMar>
              <w:top w:type="dxa" w:w="28"/>
              <w:left w:type="dxa" w:w="70"/>
              <w:bottom w:type="dxa" w:w="28"/>
              <w:right w:type="dxa" w:w="70"/>
            </w:tcMar>
          </w:tcPr>
          <w:p>
            <w:pPr>
              <w:spacing w:after="0"/>
              <w:jc w:val="left"/>
            </w:pPr>
            <w:r>
              <w:rPr>
                <w:rFonts w:ascii="Calibri" w:cs="Calibri" w:eastAsia="Calibri" w:hAnsi="Calibri"/>
                <w:b/>
                <w:bCs/>
                <w:sz w:val="18"/>
                <w:szCs w:val="18"/>
              </w:rPr>
              <w:t xml:space="preserve">Definition and economic bet</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low_turnover</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Negative log of 60-day average rupee traded value: under-followed, neglected names where information diffuses slowly.</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obv_slope</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20-day change in on-balance volume, normalised: volume confirming price.</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cmf_20</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Chaikin money flow: where within the range closes happen, volume-weighted (accumulation).</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vol_surge</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20-day over 120-day average rupee volume: sudden attention.</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vol_dry</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The inverse: volume drying up - quiet accumulation.</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pv_corr</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60-day correlation of returns with volume changes: price-volume divergence.</w:t>
            </w:r>
          </w:p>
        </w:tc>
      </w:tr>
    </w:tbl>
    <w:p>
      <w:pPr>
        <w:spacing w:after="80"/>
      </w:pPr>
    </w:p>
    <w:p>
      <w:pPr>
        <w:pStyle w:val="Heading2"/>
        <w:spacing w:after="70" w:before="150"/>
      </w:pPr>
      <w:r>
        <w:rPr>
          <w:rFonts w:ascii="Calibri" w:cs="Calibri" w:eastAsia="Calibri" w:hAnsi="Calibri"/>
          <w:b/>
          <w:bCs/>
          <w:color w:val="2E5395"/>
          <w:sz w:val="23"/>
          <w:szCs w:val="23"/>
        </w:rPr>
        <w:t xml:space="preserve">2.6 Microstructure anomalies (4) and seasonality (2)</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300"/>
        <w:gridCol w:w="7700"/>
      </w:tblGrid>
      <w:tr>
        <w:tc>
          <w:tcPr>
            <w:tcW w:type="dxa" w:w="2300"/>
            <w:shd w:fill="DDE5F3" w:val="clear"/>
            <w:tcMar>
              <w:top w:type="dxa" w:w="28"/>
              <w:left w:type="dxa" w:w="70"/>
              <w:bottom w:type="dxa" w:w="28"/>
              <w:right w:type="dxa" w:w="70"/>
            </w:tcMar>
          </w:tcPr>
          <w:p>
            <w:pPr>
              <w:spacing w:after="0"/>
              <w:jc w:val="left"/>
            </w:pPr>
            <w:r>
              <w:rPr>
                <w:rFonts w:ascii="Calibri" w:cs="Calibri" w:eastAsia="Calibri" w:hAnsi="Calibri"/>
                <w:b/>
                <w:bCs/>
                <w:sz w:val="18"/>
                <w:szCs w:val="18"/>
              </w:rPr>
              <w:t xml:space="preserve">Signal</w:t>
            </w:r>
          </w:p>
        </w:tc>
        <w:tc>
          <w:tcPr>
            <w:tcW w:type="dxa" w:w="7700"/>
            <w:shd w:fill="DDE5F3" w:val="clear"/>
            <w:tcMar>
              <w:top w:type="dxa" w:w="28"/>
              <w:left w:type="dxa" w:w="70"/>
              <w:bottom w:type="dxa" w:w="28"/>
              <w:right w:type="dxa" w:w="70"/>
            </w:tcMar>
          </w:tcPr>
          <w:p>
            <w:pPr>
              <w:spacing w:after="0"/>
              <w:jc w:val="left"/>
            </w:pPr>
            <w:r>
              <w:rPr>
                <w:rFonts w:ascii="Calibri" w:cs="Calibri" w:eastAsia="Calibri" w:hAnsi="Calibri"/>
                <w:b/>
                <w:bCs/>
                <w:sz w:val="18"/>
                <w:szCs w:val="18"/>
              </w:rPr>
              <w:t xml:space="preserve">Definition and economic bet</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anti_lottery</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Negative of the largest single-day gain in the past month (the MAX effect: lottery-like stocks underperform).</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skew_neg</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Negative realised skewness (126d): the negative-skew premium.</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price_low</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Negative log price: the low-nominal-price effect.</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amihud</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Amihud illiquidity (|return| per rupee traded, 60d): the illiquidity premium proper.</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seasonal_1m</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The stock's average return in this calendar month over the past 3 years (Heston-Sadka seasonality).</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rel_str_6m</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6-month return minus the universe's 6-month return: relative strength.</w:t>
            </w:r>
          </w:p>
        </w:tc>
      </w:tr>
    </w:tbl>
    <w:p>
      <w:pPr>
        <w:spacing w:after="80"/>
      </w:pPr>
    </w:p>
    <w:p>
      <w:pPr>
        <w:pStyle w:val="Heading2"/>
        <w:spacing w:after="70" w:before="150"/>
      </w:pPr>
      <w:r>
        <w:rPr>
          <w:rFonts w:ascii="Calibri" w:cs="Calibri" w:eastAsia="Calibri" w:hAnsi="Calibri"/>
          <w:b/>
          <w:bCs/>
          <w:color w:val="2E5395"/>
          <w:sz w:val="23"/>
          <w:szCs w:val="23"/>
        </w:rPr>
        <w:t xml:space="preserve">2.7 Defensive-II (2 signals)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300"/>
        <w:gridCol w:w="7700"/>
      </w:tblGrid>
      <w:tr>
        <w:tc>
          <w:tcPr>
            <w:tcW w:type="dxa" w:w="2300"/>
            <w:shd w:fill="DDE5F3" w:val="clear"/>
            <w:tcMar>
              <w:top w:type="dxa" w:w="28"/>
              <w:left w:type="dxa" w:w="70"/>
              <w:bottom w:type="dxa" w:w="28"/>
              <w:right w:type="dxa" w:w="70"/>
            </w:tcMar>
          </w:tcPr>
          <w:p>
            <w:pPr>
              <w:spacing w:after="0"/>
              <w:jc w:val="left"/>
            </w:pPr>
            <w:r>
              <w:rPr>
                <w:rFonts w:ascii="Calibri" w:cs="Calibri" w:eastAsia="Calibri" w:hAnsi="Calibri"/>
                <w:b/>
                <w:bCs/>
                <w:sz w:val="18"/>
                <w:szCs w:val="18"/>
              </w:rPr>
              <w:t xml:space="preserve">Signal</w:t>
            </w:r>
          </w:p>
        </w:tc>
        <w:tc>
          <w:tcPr>
            <w:tcW w:type="dxa" w:w="7700"/>
            <w:shd w:fill="DDE5F3" w:val="clear"/>
            <w:tcMar>
              <w:top w:type="dxa" w:w="28"/>
              <w:left w:type="dxa" w:w="70"/>
              <w:bottom w:type="dxa" w:w="28"/>
              <w:right w:type="dxa" w:w="70"/>
            </w:tcMar>
          </w:tcPr>
          <w:p>
            <w:pPr>
              <w:spacing w:after="0"/>
              <w:jc w:val="left"/>
            </w:pPr>
            <w:r>
              <w:rPr>
                <w:rFonts w:ascii="Calibri" w:cs="Calibri" w:eastAsia="Calibri" w:hAnsi="Calibri"/>
                <w:b/>
                <w:bCs/>
                <w:sz w:val="18"/>
                <w:szCs w:val="18"/>
              </w:rPr>
              <w:t xml:space="preserve">Definition and economic bet</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idio_vol_low</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Negative idiosyncratic volatility (residual after removing beta exposure): the idiosyncratic-vol anomaly.</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vol_compress</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Negative ratio of 20-day to 120-day volatility: volatility contraction, a breakout precursor.</w:t>
            </w:r>
          </w:p>
        </w:tc>
      </w:tr>
    </w:tbl>
    <w:p>
      <w:pPr>
        <w:pStyle w:val="Heading1"/>
        <w:spacing w:after="90" w:before="210"/>
      </w:pPr>
      <w:r>
        <w:rPr>
          <w:rFonts w:ascii="Calibri" w:cs="Calibri" w:eastAsia="Calibri" w:hAnsi="Calibri"/>
          <w:b/>
          <w:bCs/>
          <w:color w:val="1F3864"/>
          <w:sz w:val="27"/>
          <w:szCs w:val="27"/>
        </w:rPr>
        <w:t xml:space="preserve">3. Universe variants and eligibility</w:t>
      </w:r>
    </w:p>
    <w:p>
      <w:pPr>
        <w:spacing w:after="110"/>
      </w:pPr>
      <w:r>
        <w:rPr>
          <w:rFonts w:ascii="Calibri" w:cs="Calibri" w:eastAsia="Calibri" w:hAnsi="Calibri"/>
          <w:sz w:val="22"/>
          <w:szCs w:val="22"/>
        </w:rPr>
        <w:t xml:space="preserve">Base eligibility on every rebalance date: at least 12 months of listed price history, at least Rs 1 crore of 60-day average daily traded value, and - in the point-in-time configuration - membership of NIFTY 100 or Midcap 100 on that date, reconstructed from archived constituent files. Each candidate then chooses one of three universe variants: all (every eligible stock), highvol (the half with above-median 60-day volatility), or lowvol (the calmer half). The volatility split lets trend styles hunt where moves are large and defensive styles hunt where they are small.</w:t>
      </w:r>
    </w:p>
    <w:p>
      <w:pPr>
        <w:pStyle w:val="Heading1"/>
        <w:spacing w:after="90" w:before="210"/>
      </w:pPr>
      <w:r>
        <w:rPr>
          <w:rFonts w:ascii="Calibri" w:cs="Calibri" w:eastAsia="Calibri" w:hAnsi="Calibri"/>
          <w:b/>
          <w:bCs/>
          <w:color w:val="1F3864"/>
          <w:sz w:val="27"/>
          <w:szCs w:val="27"/>
        </w:rPr>
        <w:t xml:space="preserve">4. Portfolio construction</w:t>
      </w:r>
    </w:p>
    <w:p>
      <w:pPr>
        <w:spacing w:after="110"/>
      </w:pPr>
      <w:r>
        <w:rPr>
          <w:rFonts w:ascii="Calibri" w:cs="Calibri" w:eastAsia="Calibri" w:hAnsi="Calibri"/>
          <w:sz w:val="22"/>
          <w:szCs w:val="22"/>
        </w:rPr>
        <w:t xml:space="preserve">N is itself a searched dimension with two values: 4 (concentrated) or 8 (diversified), always equal-weighted, always fully invested unless a gate is off, long-only, no leverage. Transaction cost of 0.1% is charged on every buy and sell leg.</w:t>
      </w:r>
    </w:p>
    <w:p>
      <w:pPr>
        <w:pStyle w:val="Heading1"/>
        <w:spacing w:after="90" w:before="210"/>
      </w:pPr>
      <w:r>
        <w:rPr>
          <w:rFonts w:ascii="Calibri" w:cs="Calibri" w:eastAsia="Calibri" w:hAnsi="Calibri"/>
          <w:b/>
          <w:bCs/>
          <w:color w:val="1F3864"/>
          <w:sz w:val="27"/>
          <w:szCs w:val="27"/>
        </w:rPr>
        <w:t xml:space="preserve">5. Conditions and market gates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300"/>
        <w:gridCol w:w="7700"/>
      </w:tblGrid>
      <w:tr>
        <w:tc>
          <w:tcPr>
            <w:tcW w:type="dxa" w:w="2300"/>
            <w:shd w:fill="DDE5F3" w:val="clear"/>
            <w:tcMar>
              <w:top w:type="dxa" w:w="28"/>
              <w:left w:type="dxa" w:w="70"/>
              <w:bottom w:type="dxa" w:w="28"/>
              <w:right w:type="dxa" w:w="70"/>
            </w:tcMar>
          </w:tcPr>
          <w:p>
            <w:pPr>
              <w:spacing w:after="0"/>
              <w:jc w:val="left"/>
            </w:pPr>
            <w:r>
              <w:rPr>
                <w:rFonts w:ascii="Calibri" w:cs="Calibri" w:eastAsia="Calibri" w:hAnsi="Calibri"/>
                <w:b/>
                <w:bCs/>
                <w:sz w:val="18"/>
                <w:szCs w:val="18"/>
              </w:rPr>
              <w:t xml:space="preserve">Stock-level conditions (up to 2 per strategy)</w:t>
            </w:r>
          </w:p>
        </w:tc>
        <w:tc>
          <w:tcPr>
            <w:tcW w:type="dxa" w:w="7700"/>
            <w:shd w:fill="DDE5F3" w:val="clear"/>
            <w:tcMar>
              <w:top w:type="dxa" w:w="28"/>
              <w:left w:type="dxa" w:w="70"/>
              <w:bottom w:type="dxa" w:w="28"/>
              <w:right w:type="dxa" w:w="70"/>
            </w:tcMar>
          </w:tcPr>
          <w:p>
            <w:pPr>
              <w:spacing w:after="0"/>
              <w:jc w:val="left"/>
            </w:pPr>
            <w:r>
              <w:rPr>
                <w:rFonts w:ascii="Calibri" w:cs="Calibri" w:eastAsia="Calibri" w:hAnsi="Calibri"/>
                <w:b/>
                <w:bCs/>
                <w:sz w:val="18"/>
                <w:szCs w:val="18"/>
              </w:rPr>
              <w:t xml:space="preserve">Meaning</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rsi_below_85</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Exclude overbought names (RSI &gt;= 85).</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vol_above_med / vol_below_med</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Keep only above- / below-median volatility names.</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mom6_positive</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Require a positive 6-month return.</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above_50dma</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Require price above its 50-day average.</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near_52wh</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Require price within 10% of its 52-week high.</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liq_above_med</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Keep only above-median turnover names.</w:t>
            </w:r>
          </w:p>
        </w:tc>
      </w:tr>
    </w:tbl>
    <w:p>
      <w:pPr>
        <w:spacing w:after="8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300"/>
        <w:gridCol w:w="7700"/>
      </w:tblGrid>
      <w:tr>
        <w:tc>
          <w:tcPr>
            <w:tcW w:type="dxa" w:w="2300"/>
            <w:shd w:fill="DDE5F3" w:val="clear"/>
            <w:tcMar>
              <w:top w:type="dxa" w:w="28"/>
              <w:left w:type="dxa" w:w="70"/>
              <w:bottom w:type="dxa" w:w="28"/>
              <w:right w:type="dxa" w:w="70"/>
            </w:tcMar>
          </w:tcPr>
          <w:p>
            <w:pPr>
              <w:spacing w:after="0"/>
              <w:jc w:val="left"/>
            </w:pPr>
            <w:r>
              <w:rPr>
                <w:rFonts w:ascii="Calibri" w:cs="Calibri" w:eastAsia="Calibri" w:hAnsi="Calibri"/>
                <w:b/>
                <w:bCs/>
                <w:sz w:val="18"/>
                <w:szCs w:val="18"/>
              </w:rPr>
              <w:t xml:space="preserve">Market gates (up to 2 per strategy)</w:t>
            </w:r>
          </w:p>
        </w:tc>
        <w:tc>
          <w:tcPr>
            <w:tcW w:type="dxa" w:w="7700"/>
            <w:shd w:fill="DDE5F3" w:val="clear"/>
            <w:tcMar>
              <w:top w:type="dxa" w:w="28"/>
              <w:left w:type="dxa" w:w="70"/>
              <w:bottom w:type="dxa" w:w="28"/>
              <w:right w:type="dxa" w:w="70"/>
            </w:tcMar>
          </w:tcPr>
          <w:p>
            <w:pPr>
              <w:spacing w:after="0"/>
              <w:jc w:val="left"/>
            </w:pPr>
            <w:r>
              <w:rPr>
                <w:rFonts w:ascii="Calibri" w:cs="Calibri" w:eastAsia="Calibri" w:hAnsi="Calibri"/>
                <w:b/>
                <w:bCs/>
                <w:sz w:val="18"/>
                <w:szCs w:val="18"/>
              </w:rPr>
              <w:t xml:space="preserve">Meaning</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gate_mkt_200dma</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Hold cash whenever the equal-weight universe is below its own 200-day average.</w:t>
            </w:r>
          </w:p>
        </w:tc>
      </w:tr>
      <w:tr>
        <w:tc>
          <w:tcPr>
            <w:tcW w:type="dxa" w:w="23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gate_mkt_6m_pos</w:t>
            </w:r>
          </w:p>
        </w:tc>
        <w:tc>
          <w:tcPr>
            <w:tcW w:type="dxa" w:w="77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Hold cash whenever the universe's 6-month return is negative.</w:t>
            </w:r>
          </w:p>
        </w:tc>
      </w:tr>
    </w:tbl>
    <w:p>
      <w:pPr>
        <w:spacing w:after="110"/>
      </w:pPr>
      <w:r>
        <w:rPr>
          <w:rFonts w:ascii="Calibri" w:cs="Calibri" w:eastAsia="Calibri" w:hAnsi="Calibri"/>
          <w:sz w:val="22"/>
          <w:szCs w:val="22"/>
        </w:rPr>
        <w:t xml:space="preserve">Gates are the search's long-only expression of a bearish view: a gated strategy can refuse to be invested.</w:t>
      </w:r>
    </w:p>
    <w:p>
      <w:pPr>
        <w:pStyle w:val="Heading1"/>
        <w:spacing w:after="90" w:before="210"/>
      </w:pPr>
      <w:r>
        <w:rPr>
          <w:rFonts w:ascii="Calibri" w:cs="Calibri" w:eastAsia="Calibri" w:hAnsi="Calibri"/>
          <w:b/>
          <w:bCs/>
          <w:color w:val="1F3864"/>
          <w:sz w:val="27"/>
          <w:szCs w:val="27"/>
        </w:rPr>
        <w:t xml:space="preserve">6. How the tree assembles candidates</w:t>
      </w:r>
    </w:p>
    <w:p>
      <w:pPr>
        <w:spacing w:after="110"/>
      </w:pPr>
      <w:r>
        <w:rPr>
          <w:rFonts w:ascii="Calibri" w:cs="Calibri" w:eastAsia="Calibri" w:hAnsi="Calibri"/>
          <w:sz w:val="22"/>
          <w:szCs w:val="22"/>
        </w:rPr>
        <w:t xml:space="preserve">At each 6-monthly retraining, the search proceeds in stages on the trailing 2 years of data. Stage 1 evaluates all singles: 45 signals x 3 universes x 2 sizes = 270 candidates. Stage 2 takes the 8 best-performing distinct signals and forms every cross-family pair (a family rule forbids blending two signals that measure the same phenomenon), each evaluated across all universes and sizes - up to ~168 further candidates. Stage 3 is a beam search of depth 2: the 8 best strategies so far each try adding one condition or gate (9 possibilities), the best 8 of the enlarged set try adding a second - roughly 140 more evaluations. In total approximately 500 candidate strategies are backtested per retraining, and the single best by trained total return is deployed, unchanged, for the following six months. Across the 23 retrainings of 2015-2026 the search therefore examines roughly 11,500 strategy-window combinations, every deployment window being fully out-of-sample for the strategy chosen in it.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2026-09-13T14:29:45.115Z</dcterms:created>
  <dcterms:modified xsi:type="dcterms:W3CDTF">2026-09-13T14:29:45.127Z</dcterms:modified>
</cp:coreProperties>
</file>

<file path=docProps/custom.xml><?xml version="1.0" encoding="utf-8"?>
<Properties xmlns="http://schemas.openxmlformats.org/officeDocument/2006/custom-properties" xmlns:vt="http://schemas.openxmlformats.org/officeDocument/2006/docPropsVTypes"/>
</file>