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Adaptive Walk-Forward Strategy System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Search space, parameters, and year-wise results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System in one paragraph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Every six months, a tree search evaluates ~500 candidate strategies on the trailing two years of NIFTY 100 + Midcap 100 data and selects the best one; that strategy then trades a 4- or 8-stock equal-weight portfolio, rebalanced every two weeks, for the following six months, after which the search repeats. A candidate strategy = (signal blend, universe variant, portfolio size, stock filters, market gates). Run from January 2015 to June 2026: 23 deployment windows.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Search space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300"/>
        <w:gridCol w:w="2600"/>
      </w:tblGrid>
      <w:tr>
        <w:tc>
          <w:tcPr>
            <w:tcW w:type="dxa" w:w="21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Family</w:t>
            </w:r>
          </w:p>
        </w:tc>
        <w:tc>
          <w:tcPr>
            <w:tcW w:type="dxa" w:w="53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Signals</w:t>
            </w:r>
          </w:p>
        </w:tc>
        <w:tc>
          <w:tcPr>
            <w:tcW w:type="dxa" w:w="26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Measures</w:t>
            </w:r>
          </w:p>
        </w:tc>
      </w:tr>
      <w:tr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Trend (13)</w:t>
            </w:r>
          </w:p>
        </w:tc>
        <w:tc>
          <w:tcPr>
            <w:tcW w:type="dxa" w:w="5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mom_3m, mom_6m, mom_12_1, macd_5_35, macd_12_26, trix_15, kst, px_sma50, px_sma200, ma_cross_50_200, adx_14, dmi_diff, dist_52wh</w:t>
            </w:r>
          </w:p>
        </w:tc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Price momentum and trend strength at multiple horizons</w:t>
            </w:r>
          </w:p>
        </w:tc>
      </w:tr>
      <w:tr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Contrarian (6)</w:t>
            </w:r>
          </w:p>
        </w:tc>
        <w:tc>
          <w:tcPr>
            <w:tcW w:type="dxa" w:w="5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rev_1m, rev_6m, rsi_oversold, stoch_oversold, near_52wl, bb_lower</w:t>
            </w:r>
          </w:p>
        </w:tc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Buying recent losers / oversold names</w:t>
            </w:r>
          </w:p>
        </w:tc>
      </w:tr>
      <w:tr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Defensive (7)</w:t>
            </w:r>
          </w:p>
        </w:tc>
        <w:tc>
          <w:tcPr>
            <w:tcW w:type="dxa" w:w="5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lowvol_60, lowvol_20, low_beta, low_atr, above_200_persist, dd_resist, updays_1m</w:t>
            </w:r>
          </w:p>
        </w:tc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Low-risk, stable, crash-resistant names</w:t>
            </w:r>
          </w:p>
        </w:tc>
      </w:tr>
      <w:tr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Quality (4)</w:t>
            </w:r>
          </w:p>
        </w:tc>
        <w:tc>
          <w:tcPr>
            <w:tcW w:type="dxa" w:w="5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sharpe_6m, sortino_6m, calmar_6m, trend_r2</w:t>
            </w:r>
          </w:p>
        </w:tc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Risk-adjusted return quality of the recent path</w:t>
            </w:r>
          </w:p>
        </w:tc>
      </w:tr>
      <w:tr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Flow / liquidity (6)</w:t>
            </w:r>
          </w:p>
        </w:tc>
        <w:tc>
          <w:tcPr>
            <w:tcW w:type="dxa" w:w="5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low_turnover, obv_slope, cmf_20, vol_surge, vol_dry, pv_corr</w:t>
            </w:r>
          </w:p>
        </w:tc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Volume, turnover and accumulation patterns</w:t>
            </w:r>
          </w:p>
        </w:tc>
      </w:tr>
      <w:tr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Microstructure (4)</w:t>
            </w:r>
          </w:p>
        </w:tc>
        <w:tc>
          <w:tcPr>
            <w:tcW w:type="dxa" w:w="5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anti_lottery, skew_neg, price_low, amihud</w:t>
            </w:r>
          </w:p>
        </w:tc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Lottery, skewness, low-price and illiquidity effects</w:t>
            </w:r>
          </w:p>
        </w:tc>
      </w:tr>
      <w:tr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Seasonality (2)</w:t>
            </w:r>
          </w:p>
        </w:tc>
        <w:tc>
          <w:tcPr>
            <w:tcW w:type="dxa" w:w="5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seasonal_1m, rel_str_6m</w:t>
            </w:r>
          </w:p>
        </w:tc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Calendar-month persistence; relative strength</w:t>
            </w:r>
          </w:p>
        </w:tc>
      </w:tr>
      <w:tr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Defensive-II (2)</w:t>
            </w:r>
          </w:p>
        </w:tc>
        <w:tc>
          <w:tcPr>
            <w:tcW w:type="dxa" w:w="5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idio_vol_low, vol_compress</w:t>
            </w:r>
          </w:p>
        </w:tc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Idiosyncratic volatility; volatility contraction</w:t>
            </w:r>
          </w:p>
        </w:tc>
      </w:tr>
      <w:tr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Path quality (1)</w:t>
            </w:r>
          </w:p>
        </w:tc>
        <w:tc>
          <w:tcPr>
            <w:tcW w:type="dxa" w:w="5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eff_ratio_6m</w:t>
            </w:r>
          </w:p>
        </w:tc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Straight-line efficiency of the move</w:t>
            </w:r>
          </w:p>
        </w:tc>
      </w:tr>
    </w:tbl>
    <w:p>
      <w:pPr>
        <w:spacing w:after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c>
          <w:tcPr>
            <w:tcW w:type="dxa" w:w="26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Dimension</w:t>
            </w:r>
          </w:p>
        </w:tc>
        <w:tc>
          <w:tcPr>
            <w:tcW w:type="dxa" w:w="74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Signal blend</w:t>
            </w:r>
          </w:p>
        </w:tc>
        <w:tc>
          <w:tcPr>
            <w:tcW w:type="dxa" w:w="7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signal, or 2 signals from different families, combined as sum of cross-sectional z-scores</w:t>
            </w:r>
          </w:p>
        </w:tc>
      </w:tr>
      <w:tr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Universe variant</w:t>
            </w:r>
          </w:p>
        </w:tc>
        <w:tc>
          <w:tcPr>
            <w:tcW w:type="dxa" w:w="7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eligible / more-volatile half / less-volatile half</w:t>
            </w:r>
          </w:p>
        </w:tc>
      </w:tr>
      <w:tr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Portfolio size N</w:t>
            </w:r>
          </w:p>
        </w:tc>
        <w:tc>
          <w:tcPr>
            <w:tcW w:type="dxa" w:w="7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or 8 stocks, equal weight</w:t>
            </w:r>
          </w:p>
        </w:tc>
      </w:tr>
      <w:tr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filters (0-2)</w:t>
            </w:r>
          </w:p>
        </w:tc>
        <w:tc>
          <w:tcPr>
            <w:tcW w:type="dxa" w:w="7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rsi_below_85, vol_above_med, vol_below_med, mom6_positive, above_50dma, near_52wh, liq_above_med</w:t>
            </w:r>
          </w:p>
        </w:tc>
      </w:tr>
      <w:tr>
        <w:tc>
          <w:tcPr>
            <w:tcW w:type="dxa" w:w="2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 gates (0-2)</w:t>
            </w:r>
          </w:p>
        </w:tc>
        <w:tc>
          <w:tcPr>
            <w:tcW w:type="dxa" w:w="7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gate_mkt_200dma, gate_mkt_6m_pos (portfolio moves to cash when the gate condition fails)</w:t>
            </w:r>
          </w:p>
        </w:tc>
      </w:tr>
    </w:tbl>
    <w:p>
      <w:pPr>
        <w:spacing w:after="80"/>
      </w:pP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Tree procedure per retraining: all 270 singles (45 signals x 3 universes x 2 sizes)  -&gt;  cross-family pairs of the top 8 singles (~168)  -&gt;  beam of 8 expanded twice with one filter or gate at a time (~140)  -&gt;  winner = highest total return on the training window. ~500 candidates per retraining; ~11,500 across the full run.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Parameters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c>
          <w:tcPr>
            <w:tcW w:type="dxa" w:w="34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66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Training lookback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years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Retraining cadence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6 months (1 Jan / 1 Jul)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Portfolio re-evaluation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2 weeks, Friday close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Evaluation span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Jan 2015 - 30 Jun 2026 (23 windows)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Universe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NIFTY 100 + Midcap 100 constituents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&gt;= 12 months listing history; &gt;= Rs 1 crore/day 60-day average traded value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Starting capital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Rs 1 crore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Weighting / exposure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equal weight, fully invested, long-only, no leverage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Transaction cost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0.1% per leg (0.2% per round trip)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Execution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fill at the signal close; cash earns 0%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Selection criterion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highest total return on the training window</w:t>
            </w:r>
          </w:p>
        </w:tc>
      </w:tr>
      <w:tr>
        <w:tc>
          <w:tcPr>
            <w:tcW w:type="dxa" w:w="3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66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adjusted close and volume, 2013-2026 (2013-14 used only for signal warm-up)</w:t>
            </w:r>
          </w:p>
        </w:tc>
      </w:tr>
    </w:tbl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Year-wise results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Universe basis: both the strategy and its primary benchmark are constructed from today's NIFTY 100 + Midcap 100 constituent lists applied across the whole period, so the comparison is universe-matched - the strategy is measured against passively holding an equal-weight basket of the same stock list it selects from. Official index levels are shown alongside. Strategy selection in every window uses only data preceding that window.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1200"/>
        <w:gridCol w:w="1400"/>
        <w:gridCol w:w="1500"/>
        <w:gridCol w:w="1500"/>
      </w:tblGrid>
      <w:tr>
        <w:tc>
          <w:tcPr>
            <w:tcW w:type="dxa" w:w="33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Final value (from Rs 1 cr)</w:t>
            </w:r>
          </w:p>
        </w:tc>
        <w:tc>
          <w:tcPr>
            <w:tcW w:type="dxa" w:w="12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CAGR</w:t>
            </w:r>
          </w:p>
        </w:tc>
        <w:tc>
          <w:tcPr>
            <w:tcW w:type="dxa" w:w="14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Sharpe (ann.)</w:t>
            </w:r>
          </w:p>
        </w:tc>
        <w:tc>
          <w:tcPr>
            <w:tcW w:type="dxa" w:w="15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15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Windows positive</w:t>
            </w:r>
          </w:p>
        </w:tc>
      </w:tr>
      <w:tr>
        <w:tc>
          <w:tcPr>
            <w:tcW w:type="dxa" w:w="3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Strategy (walk-forward)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Rs 81.7 cr</w:t>
            </w:r>
          </w:p>
        </w:tc>
        <w:tc>
          <w:tcPr>
            <w:tcW w:type="dxa" w:w="12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46.7%</w:t>
            </w:r>
          </w:p>
        </w:tc>
        <w:tc>
          <w:tcPr>
            <w:tcW w:type="dxa" w:w="1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1.33</w:t>
            </w:r>
          </w:p>
        </w:tc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-34.1%</w:t>
            </w:r>
          </w:p>
        </w:tc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/ 23</w:t>
            </w:r>
          </w:p>
        </w:tc>
      </w:tr>
      <w:tr>
        <w:tc>
          <w:tcPr>
            <w:tcW w:type="dxa" w:w="33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Equal-weight basket of the same universe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Rs 10.2 cr</w:t>
            </w:r>
          </w:p>
        </w:tc>
        <w:tc>
          <w:tcPr>
            <w:tcW w:type="dxa" w:w="12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22.3%</w:t>
            </w:r>
          </w:p>
        </w:tc>
        <w:tc>
          <w:tcPr>
            <w:tcW w:type="dxa" w:w="14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500"/>
        <w:gridCol w:w="2100"/>
        <w:gridCol w:w="2000"/>
      </w:tblGrid>
      <w:tr>
        <w:tc>
          <w:tcPr>
            <w:tcW w:type="dxa" w:w="15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Strategy</w:t>
            </w:r>
          </w:p>
        </w:tc>
        <w:tc>
          <w:tcPr>
            <w:tcW w:type="dxa" w:w="25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Eq-wt universe basket</w:t>
            </w:r>
          </w:p>
        </w:tc>
        <w:tc>
          <w:tcPr>
            <w:tcW w:type="dxa" w:w="21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NIFTY 100 index</w:t>
            </w:r>
          </w:p>
        </w:tc>
        <w:tc>
          <w:tcPr>
            <w:tcW w:type="dxa" w:w="2000"/>
            <w:shd w:fill="DDE5F3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Midcap 100 index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+37.5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+14.7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-2.5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+6.2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+5.1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+9.4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+3.3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+6.0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+108.9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+46.8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+30.9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+45.9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-11.9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-10.4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+1.9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-15.3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+65.1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+4.5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+10.0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-4.4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+49.7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+39.7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+14.8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+19.8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+80.6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+53.5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+23.5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+42.3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+53.0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+7.2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+2.2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+2.3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+59.6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+60.3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+19.6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+45.3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+50.8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+41.9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+12.0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+23.3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+18.6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+10.6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+6.6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+4.1</w:t>
            </w:r>
          </w:p>
        </w:tc>
      </w:tr>
      <w:tr>
        <w:tc>
          <w:tcPr>
            <w:tcW w:type="dxa" w:w="1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 H1</w:t>
            </w:r>
          </w:p>
        </w:tc>
        <w:tc>
          <w:tcPr>
            <w:tcW w:type="dxa" w:w="17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+40.6</w:t>
            </w:r>
          </w:p>
        </w:tc>
        <w:tc>
          <w:tcPr>
            <w:tcW w:type="dxa" w:w="25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+1.8</w:t>
            </w:r>
          </w:p>
        </w:tc>
        <w:tc>
          <w:tcPr>
            <w:tcW w:type="dxa" w:w="21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-7.5</w:t>
            </w:r>
          </w:p>
        </w:tc>
        <w:tc>
          <w:tcPr>
            <w:tcW w:type="dxa" w:w="2000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+0.7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All returns in percent; strategy column net of 0.1% per-leg transaction costs. The strategy leads the equal-weight basket of its own universe in 10 of 12 periods and compounds at roughly twice its rate.</w:t>
      </w:r>
    </w:p>
    <w:p>
      <w:pPr>
        <w:spacing w:after="80"/>
      </w:pP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Supplementary - approximate point-in-time universe. As archived constituent lists for the full period are only sparsely available, we additionally reconstructed an approximate historical membership from archived NSE files (~181 names/day; coverage is incomplete, particularly for the Midcap list before 2023). On that reconstruction the identical system returns 25.2% CAGR (Rs 13.3 cr, Sharpe 0.96, max drawdown -65%) against roughly 15% for the equal-weight basket of the reconstructed universe.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2026-09-13T14:51:29.181Z</dcterms:created>
  <dcterms:modified xsi:type="dcterms:W3CDTF">2026-09-13T14:51:29.190Z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