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Calibri" w:hAnsi="Calibri"/>
          <w:b/>
          <w:color w:val="17324D"/>
          <w:sz w:val="54"/>
        </w:rPr>
        <w:t>HelioDesk</w:t>
        <w:br/>
        <w:t>Implementation Guide</w:t>
      </w:r>
    </w:p>
    <w:p>
      <w:pPr>
        <w:spacing w:after="360"/>
      </w:pPr>
      <w:r>
        <w:rPr>
          <w:color w:val="2A7F7F"/>
          <w:sz w:val="24"/>
        </w:rPr>
        <w:t>A phased rollout plan for a fictional customer-support platform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E8F1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5A7A"/>
                <w:sz w:val="17"/>
              </w:rPr>
              <w:t>VERSION</w:t>
            </w:r>
          </w:p>
        </w:tc>
        <w:tc>
          <w:tcPr>
            <w:tcW w:type="dxa" w:w="331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color w:val="17324D"/>
                <w:sz w:val="19"/>
              </w:rPr>
              <w:t>1.0</w:t>
            </w:r>
          </w:p>
        </w:tc>
        <w:tc>
          <w:tcPr>
            <w:tcW w:type="dxa" w:w="1152"/>
            <w:shd w:fill="E8F1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5A7A"/>
                <w:sz w:val="17"/>
              </w:rPr>
              <w:t>STATUS</w:t>
            </w:r>
          </w:p>
        </w:tc>
        <w:tc>
          <w:tcPr>
            <w:tcW w:type="dxa" w:w="403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color w:val="17324D"/>
                <w:sz w:val="19"/>
              </w:rPr>
              <w:t>Demo ready</w:t>
            </w:r>
          </w:p>
        </w:tc>
      </w:tr>
      <w:tr>
        <w:tc>
          <w:tcPr>
            <w:tcW w:type="dxa" w:w="1152"/>
            <w:shd w:fill="E8F1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5A7A"/>
                <w:sz w:val="17"/>
              </w:rPr>
              <w:t>OWNER</w:t>
            </w:r>
          </w:p>
        </w:tc>
        <w:tc>
          <w:tcPr>
            <w:tcW w:type="dxa" w:w="331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color w:val="17324D"/>
                <w:sz w:val="19"/>
              </w:rPr>
              <w:t>Solutions Engineering</w:t>
            </w:r>
          </w:p>
        </w:tc>
        <w:tc>
          <w:tcPr>
            <w:tcW w:type="dxa" w:w="1152"/>
            <w:shd w:fill="E8F1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F5A7A"/>
                <w:sz w:val="17"/>
              </w:rPr>
              <w:t>AUDIENCE</w:t>
            </w:r>
          </w:p>
        </w:tc>
        <w:tc>
          <w:tcPr>
            <w:tcW w:type="dxa" w:w="403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color w:val="17324D"/>
                <w:sz w:val="19"/>
              </w:rPr>
              <w:t>Platform and Support</w:t>
            </w:r>
          </w:p>
        </w:tc>
      </w:tr>
    </w:tbl>
    <w:p>
      <w:pPr>
        <w:pStyle w:val="Heading1"/>
      </w:pPr>
      <w:r>
        <w:t>Purpose and outcome</w:t>
      </w:r>
    </w:p>
    <w:p>
      <w:r>
        <w:t>This guide moves a HelioDesk tenant from an approved architecture to a measured production rollout. The implementation is complete when tenant isolation, evidence-based answers, audit delivery, and the support escalation path have all passed their acceptance checks.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4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1F5"/>
          </w:tcPr>
          <w:p>
            <w:r>
              <w:rPr>
                <w:b/>
                <w:color w:val="1F5A7A"/>
              </w:rPr>
              <w:t>Success rule: begin with read-only search. Enable workflow actions only after the pilot owner signs the exit report and the Trust Team confirms audit completeness.</w:t>
            </w:r>
          </w:p>
        </w:tc>
      </w:tr>
    </w:tbl>
    <w:p>
      <w:pPr>
        <w:pStyle w:val="Heading1"/>
      </w:pPr>
      <w:r>
        <w:t>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44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800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Named owner</w:t>
            </w:r>
          </w:p>
        </w:tc>
        <w:tc>
          <w:tcPr>
            <w:tcW w:type="dxa" w:w="5688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Decision responsibility</w:t>
            </w:r>
          </w:p>
        </w:tc>
      </w:tr>
      <w:tr>
        <w:tc>
          <w:tcPr>
            <w:tcW w:type="dxa" w:w="1944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Executive sponsor</w:t>
            </w:r>
          </w:p>
        </w:tc>
        <w:tc>
          <w:tcPr>
            <w:tcW w:type="dxa" w:w="180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Mira Chen</w:t>
            </w:r>
          </w:p>
        </w:tc>
        <w:tc>
          <w:tcPr>
            <w:tcW w:type="dxa" w:w="568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Approves production launch and risk acceptance.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Pilot owner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Jon Bell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Approves pilot exit after quality and adoption review.</w:t>
            </w:r>
          </w:p>
        </w:tc>
      </w:tr>
      <w:tr>
        <w:tc>
          <w:tcPr>
            <w:tcW w:type="dxa" w:w="1944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Platform lead</w:t>
            </w:r>
          </w:p>
        </w:tc>
        <w:tc>
          <w:tcPr>
            <w:tcW w:type="dxa" w:w="180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Priya Rao</w:t>
            </w:r>
          </w:p>
        </w:tc>
        <w:tc>
          <w:tcPr>
            <w:tcW w:type="dxa" w:w="568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Owns Gateway, tenant boundaries, and production readiness.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Trust lead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Elena Ortiz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Validates audit delivery, retention, and access controls.</w:t>
            </w:r>
          </w:p>
        </w:tc>
      </w:tr>
      <w:tr>
        <w:tc>
          <w:tcPr>
            <w:tcW w:type="dxa" w:w="1944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Support lead</w:t>
            </w:r>
          </w:p>
        </w:tc>
        <w:tc>
          <w:tcPr>
            <w:tcW w:type="dxa" w:w="180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Marcus Webb</w:t>
            </w:r>
          </w:p>
        </w:tc>
        <w:tc>
          <w:tcPr>
            <w:tcW w:type="dxa" w:w="568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Runs training, escalation, and customer communications.</w:t>
            </w:r>
          </w:p>
        </w:tc>
      </w:tr>
    </w:tbl>
    <w:p>
      <w:r>
        <w:br w:type="page"/>
      </w:r>
    </w:p>
    <w:p>
      <w:pPr>
        <w:pStyle w:val="Heading1"/>
      </w:pPr>
      <w:r>
        <w:t>Rollout plan</w:t>
      </w:r>
    </w:p>
    <w:p>
      <w:r>
        <w:t>Each phase has a fixed owner, time box, and observable exit condition.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1440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008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224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664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Work</w:t>
            </w:r>
          </w:p>
        </w:tc>
        <w:tc>
          <w:tcPr>
            <w:tcW w:type="dxa" w:w="3096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Exit criteria</w:t>
            </w:r>
          </w:p>
        </w:tc>
      </w:tr>
      <w:tr>
        <w:tc>
          <w:tcPr>
            <w:tcW w:type="dxa" w:w="144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1. Foundation</w:t>
            </w:r>
          </w:p>
        </w:tc>
        <w:tc>
          <w:tcPr>
            <w:tcW w:type="dxa" w:w="100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 weeks</w:t>
            </w:r>
          </w:p>
        </w:tc>
        <w:tc>
          <w:tcPr>
            <w:tcW w:type="dxa" w:w="1224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Priya Rao</w:t>
            </w:r>
          </w:p>
        </w:tc>
        <w:tc>
          <w:tcPr>
            <w:tcW w:type="dxa" w:w="2664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Connect approved sources, configure tenant filters, ingest documents, and test read-only retrieval.</w:t>
            </w:r>
          </w:p>
        </w:tc>
        <w:tc>
          <w:tcPr>
            <w:tcW w:type="dxa" w:w="309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Zero cross-tenant results; 95% of test questions return at least one valid source reference.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2. Pilot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3 weeks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Jon Bell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Train 20 support agents, enable answer drafting, and review a weekly quality sample.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Jon Bell approves exit after grounded-answer rate is at least 90% and no severity-one control issue is open.</w:t>
            </w:r>
          </w:p>
        </w:tc>
      </w:tr>
      <w:tr>
        <w:tc>
          <w:tcPr>
            <w:tcW w:type="dxa" w:w="144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3. Scale</w:t>
            </w:r>
          </w:p>
        </w:tc>
        <w:tc>
          <w:tcPr>
            <w:tcW w:type="dxa" w:w="100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 weeks</w:t>
            </w:r>
          </w:p>
        </w:tc>
        <w:tc>
          <w:tcPr>
            <w:tcW w:type="dxa" w:w="1224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Marcus Webb</w:t>
            </w:r>
          </w:p>
        </w:tc>
        <w:tc>
          <w:tcPr>
            <w:tcW w:type="dxa" w:w="2664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Expand to all agents, enable approved workflows, and activate the incident communication cadence.</w:t>
            </w:r>
          </w:p>
        </w:tc>
        <w:tc>
          <w:tcPr>
            <w:tcW w:type="dxa" w:w="309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Mira Chen approves launch; Trust Team confirms 100% audit-event delivery in the acceptance window.</w:t>
            </w:r>
          </w:p>
        </w:tc>
      </w:tr>
    </w:tbl>
    <w:p>
      <w:pPr>
        <w:pStyle w:val="Heading2"/>
      </w:pPr>
      <w:r>
        <w:t>Foundation checklist</w:t>
      </w:r>
    </w:p>
    <w:p>
      <w:pPr>
        <w:pStyle w:val="ListBullet"/>
        <w:spacing w:after="80" w:line="288" w:lineRule="auto"/>
      </w:pPr>
      <w:r>
        <w:t>Register each source with a collection, tenant ID, source URI, and retention owner.</w:t>
      </w:r>
    </w:p>
    <w:p>
      <w:pPr>
        <w:pStyle w:val="ListBullet"/>
        <w:spacing w:after="80" w:line="288" w:lineRule="auto"/>
      </w:pPr>
      <w:r>
        <w:t>Run canonical ingestion and retain the manifest and ingestion-error report.</w:t>
      </w:r>
    </w:p>
    <w:p>
      <w:pPr>
        <w:pStyle w:val="ListBullet"/>
        <w:spacing w:after="80" w:line="288" w:lineRule="auto"/>
      </w:pPr>
      <w:r>
        <w:t>Confirm keyword search works before adding model credentials or a vector index.</w:t>
      </w:r>
    </w:p>
    <w:p>
      <w:pPr>
        <w:pStyle w:val="ListBullet"/>
        <w:spacing w:after="80" w:line="288" w:lineRule="auto"/>
      </w:pPr>
      <w:r>
        <w:t>Build the semantic index, then validate paraphrase questions against known source passages.</w:t>
      </w:r>
    </w:p>
    <w:p>
      <w:pPr>
        <w:pStyle w:val="ListBullet"/>
        <w:spacing w:after="80" w:line="288" w:lineRule="auto"/>
      </w:pPr>
      <w:r>
        <w:t>Connect Neo4j only when relationship extraction and graph retrieval are ready to be tested.</w:t>
      </w:r>
    </w:p>
    <w:p>
      <w:pPr>
        <w:pStyle w:val="ListBullet"/>
        <w:spacing w:after="80" w:line="288" w:lineRule="auto"/>
      </w:pPr>
      <w:r>
        <w:t>Exercise the degraded path by disabling graph retrieval and confirming search still answers from documents.</w:t>
      </w:r>
    </w:p>
    <w:p>
      <w:pPr>
        <w:pStyle w:val="Heading2"/>
      </w:pPr>
      <w:r>
        <w:t>Pilot acceptance sample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024"/>
            <w:shd w:fill="2A7F7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1872"/>
            <w:shd w:fill="2A7F7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4536"/>
            <w:shd w:fill="2A7F7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Grounded answers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&gt;= 90%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Weekly 50-question review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Tenant isolation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100%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Automated negative-access suite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 delivery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100%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Trust Team acceptance report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p95 answer latency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&lt;= 2.5 seconds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Production-like load test</w:t>
            </w:r>
          </w:p>
        </w:tc>
      </w:tr>
    </w:tbl>
    <w:p>
      <w:r>
        <w:br w:type="page"/>
      </w:r>
    </w:p>
    <w:p>
      <w:pPr>
        <w:pStyle w:val="Heading1"/>
      </w:pPr>
      <w:r>
        <w:t>Incident and escalation workflow</w:t>
      </w:r>
    </w:p>
    <w:p>
      <w:r>
        <w:t>Use this flow for a severity-one event such as suspected tenant leakage, unavailable customer search, or missing audit delivery. Priority support acknowledges the event within 30 minutes.</w:t>
      </w:r>
    </w:p>
    <w:p>
      <w:pPr>
        <w:pStyle w:val="ListNumber"/>
        <w:spacing w:after="80"/>
      </w:pPr>
      <w:r>
        <w:t>Support lead opens the incident channel and records the incident ID, impact, start time, and affected tenants.</w:t>
      </w:r>
    </w:p>
    <w:p>
      <w:pPr>
        <w:pStyle w:val="ListNumber"/>
        <w:spacing w:after="80"/>
      </w:pPr>
      <w:r>
        <w:t>The owning on-call team investigates while the incident commander selects a safe degraded mode.</w:t>
      </w:r>
    </w:p>
    <w:p>
      <w:pPr>
        <w:pStyle w:val="ListNumber"/>
        <w:spacing w:after="80"/>
      </w:pPr>
      <w:r>
        <w:t>The incident commander publishes a customer update every 60 minutes until mitigation.</w:t>
      </w:r>
    </w:p>
    <w:p>
      <w:pPr>
        <w:pStyle w:val="ListNumber"/>
        <w:spacing w:after="80"/>
      </w:pPr>
      <w:r>
        <w:t>Trust Team verifies audit continuity and any required access review before full service is restored.</w:t>
      </w:r>
    </w:p>
    <w:p>
      <w:pPr>
        <w:pStyle w:val="ListNumber"/>
        <w:spacing w:after="80"/>
      </w:pPr>
      <w:r>
        <w:t>Within five business days, the owner publishes a review with corrective actions and due dates.</w:t>
      </w:r>
    </w:p>
    <w:p>
      <w:pPr>
        <w:pStyle w:val="Heading1"/>
      </w:pPr>
      <w:r>
        <w:t>Operating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20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3384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Continue</w:t>
            </w:r>
          </w:p>
        </w:tc>
        <w:tc>
          <w:tcPr>
            <w:tcW w:type="dxa" w:w="3528"/>
            <w:shd w:fill="1F5A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Pause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Neo4j unavailable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Vector and keyword search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Graph-dependent claims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Chroma unavailable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Keyword and source inspection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Semantic-only questions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 Store unavailable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Read-only search for up to 15 minutes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Workflow actions requiring an audit event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Tenant filter test fails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Nothing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customer-facing access</w:t>
            </w:r>
          </w:p>
        </w:tc>
      </w:tr>
    </w:tbl>
    <w:p>
      <w:pPr>
        <w:pStyle w:val="Heading1"/>
      </w:pPr>
      <w:r>
        <w:t>Handoff package</w:t>
      </w:r>
    </w:p>
    <w:p>
      <w:pPr>
        <w:pStyle w:val="ListBullet"/>
        <w:spacing w:after="80" w:line="288" w:lineRule="auto"/>
      </w:pPr>
      <w:r>
        <w:t>Canonical ingestion manifest and error report</w:t>
      </w:r>
    </w:p>
    <w:p>
      <w:pPr>
        <w:pStyle w:val="ListBullet"/>
        <w:spacing w:after="80" w:line="288" w:lineRule="auto"/>
      </w:pPr>
      <w:r>
        <w:t>Approved source inventory and collection owners</w:t>
      </w:r>
    </w:p>
    <w:p>
      <w:pPr>
        <w:pStyle w:val="ListBullet"/>
        <w:spacing w:after="80" w:line="288" w:lineRule="auto"/>
      </w:pPr>
      <w:r>
        <w:t>Pilot scorecard and Jon Bell's signed exit decision</w:t>
      </w:r>
    </w:p>
    <w:p>
      <w:pPr>
        <w:pStyle w:val="ListBullet"/>
        <w:spacing w:after="80" w:line="288" w:lineRule="auto"/>
      </w:pPr>
      <w:r>
        <w:t>Trust Team audit-delivery acceptance report</w:t>
      </w:r>
    </w:p>
    <w:p>
      <w:pPr>
        <w:pStyle w:val="ListBullet"/>
        <w:spacing w:after="80" w:line="288" w:lineRule="auto"/>
      </w:pPr>
      <w:r>
        <w:t>Runbook links and on-call channels from the service catalog</w:t>
      </w:r>
    </w:p>
    <w:p>
      <w:pPr>
        <w:pStyle w:val="Heading2"/>
      </w:pPr>
      <w:r>
        <w:t>Document status</w:t>
      </w:r>
    </w:p>
    <w:p>
      <w:r>
        <w:t>This file is synthetic demonstration content. Names, metrics, processes, and organizations are invented to exercise GraphMind's DOCX parser and cross-document retrieval.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A78"/>
        <w:sz w:val="16"/>
      </w:rPr>
      <w:t>Synthetic demonstration content  |  GraphMind sample corpus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7056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r>
            <w:rPr>
              <w:b/>
              <w:color w:val="1F5A7A"/>
              <w:sz w:val="16"/>
            </w:rPr>
            <w:t>ASTERIA SYSTEMS  /  DEMO GUIDE</w:t>
          </w:r>
        </w:p>
      </w:tc>
      <w:tc>
        <w:tcPr>
          <w:tcW w:type="dxa" w:w="2592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jc w:val="right"/>
          </w:pPr>
          <w:r>
            <w:rPr>
              <w:sz w:val="16"/>
            </w:rPr>
            <w:t>HELIO DESK 2026.2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5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A7F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