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3129" w:rsidRDefault="002D2274" w:rsidP="002D2274">
      <w:pPr>
        <w:pStyle w:val="Title"/>
      </w:pPr>
      <w:r w:rsidRPr="002D2274">
        <w:t>FY 2019 Teacher Quality Partnership (TQP) Competition Frequently Asked Questions</w:t>
      </w:r>
      <w:r>
        <w:rPr>
          <w:rStyle w:val="FootnoteReference"/>
        </w:rPr>
        <w:footnoteReference w:id="2"/>
      </w:r>
    </w:p>
    <w:p w:rsidR="002D2274" w:rsidRPr="002D2274" w:rsidRDefault="002D2274" w:rsidP="002D2274">
      <w:pPr>
        <w:pStyle w:val="Heading1"/>
      </w:pPr>
      <w:bookmarkStart w:id="0" w:name="_Toc513617662"/>
      <w:r w:rsidRPr="002D2274">
        <w:t>Eligibility Questions</w:t>
      </w:r>
      <w:bookmarkEnd w:id="0"/>
    </w:p>
    <w:p w:rsidR="002D2274" w:rsidRPr="002D2274" w:rsidRDefault="002D2274" w:rsidP="002D2274">
      <w:pPr>
        <w:pStyle w:val="Heading2"/>
      </w:pPr>
      <w:bookmarkStart w:id="1" w:name="_Toc513617663"/>
      <w:r w:rsidRPr="002D2274">
        <w:t>May an eligible partnership apply under the Absolute Priority</w:t>
      </w:r>
      <w:r w:rsidR="00D042F0">
        <w:t xml:space="preserve"> </w:t>
      </w:r>
      <w:r w:rsidRPr="002D2274">
        <w:t>to expand or enhance an existing teaching residency program that an Institution of Higher Education (IHE) partner (partner institution) is already implementing?</w:t>
      </w:r>
      <w:bookmarkEnd w:id="1"/>
    </w:p>
    <w:p w:rsidR="002D2274" w:rsidRDefault="002D2274" w:rsidP="002D2274">
      <w:r w:rsidRPr="00C57FC8">
        <w:t>Yes</w:t>
      </w:r>
      <w:r>
        <w:t>.</w:t>
      </w:r>
      <w:r w:rsidRPr="00C57FC8" w:rsidDel="00AE5376">
        <w:t xml:space="preserve"> </w:t>
      </w:r>
      <w:r w:rsidR="00AE5376">
        <w:t xml:space="preserve">However, </w:t>
      </w:r>
      <w:r w:rsidRPr="00C57FC8">
        <w:t xml:space="preserve">the </w:t>
      </w:r>
      <w:r>
        <w:t>partner institution’s</w:t>
      </w:r>
      <w:r w:rsidRPr="00C57FC8">
        <w:t xml:space="preserve"> existing teach</w:t>
      </w:r>
      <w:r>
        <w:t>ing</w:t>
      </w:r>
      <w:r w:rsidRPr="00C57FC8">
        <w:t xml:space="preserve"> residency program </w:t>
      </w:r>
      <w:r w:rsidR="00AE5376">
        <w:t xml:space="preserve">must </w:t>
      </w:r>
      <w:r w:rsidRPr="00C57FC8">
        <w:t xml:space="preserve">conform to the requirements </w:t>
      </w:r>
      <w:r>
        <w:t xml:space="preserve">specified </w:t>
      </w:r>
      <w:r w:rsidRPr="00C57FC8">
        <w:t>in</w:t>
      </w:r>
      <w:r>
        <w:t xml:space="preserve"> section 202(e) of</w:t>
      </w:r>
      <w:r w:rsidRPr="00C57FC8">
        <w:t xml:space="preserve"> </w:t>
      </w:r>
      <w:r>
        <w:t xml:space="preserve">the Higher Education Act of 1965, as amended (HEA) </w:t>
      </w:r>
      <w:r w:rsidRPr="00C57FC8">
        <w:t xml:space="preserve">and the definition of </w:t>
      </w:r>
      <w:r>
        <w:t>“</w:t>
      </w:r>
      <w:r w:rsidRPr="00C57FC8">
        <w:t>teach</w:t>
      </w:r>
      <w:r>
        <w:t xml:space="preserve">ing </w:t>
      </w:r>
      <w:r w:rsidRPr="00C57FC8">
        <w:t>residency program</w:t>
      </w:r>
      <w:r>
        <w:t>”</w:t>
      </w:r>
      <w:r w:rsidRPr="00C57FC8">
        <w:t xml:space="preserve"> in </w:t>
      </w:r>
      <w:r>
        <w:t>HEA section</w:t>
      </w:r>
      <w:r w:rsidRPr="00C57FC8">
        <w:t xml:space="preserve"> 200(22</w:t>
      </w:r>
      <w:r>
        <w:t xml:space="preserve">). </w:t>
      </w:r>
      <w:r w:rsidRPr="00BB2CD0">
        <w:t xml:space="preserve">If its current teaching residency program does not meet the definition for a teaching residency program in </w:t>
      </w:r>
      <w:r>
        <w:t>HEA section</w:t>
      </w:r>
      <w:r w:rsidRPr="00BB2CD0">
        <w:t xml:space="preserve"> 200(22),</w:t>
      </w:r>
      <w:r>
        <w:t xml:space="preserve"> then the applicant must demonstrate how their TQP project would meet the HEA section 200(22) definition </w:t>
      </w:r>
      <w:r w:rsidRPr="00BB2CD0">
        <w:t xml:space="preserve">in order to receive </w:t>
      </w:r>
      <w:r>
        <w:t>a TQP grant.</w:t>
      </w:r>
    </w:p>
    <w:p w:rsidR="002D2274" w:rsidRPr="000F4864" w:rsidRDefault="002D2274" w:rsidP="002D2274">
      <w:pPr>
        <w:rPr>
          <w:b/>
        </w:rPr>
      </w:pPr>
      <w:r w:rsidRPr="00C57FC8">
        <w:t xml:space="preserve">Please </w:t>
      </w:r>
      <w:r>
        <w:t xml:space="preserve">also </w:t>
      </w:r>
      <w:r w:rsidRPr="00C57FC8">
        <w:t>note the TQP program has a supplement not supplant requirement</w:t>
      </w:r>
      <w:r>
        <w:t xml:space="preserve"> (HEA section 202(k))</w:t>
      </w:r>
      <w:r w:rsidRPr="00C57FC8">
        <w:t>.</w:t>
      </w:r>
      <w:r>
        <w:t xml:space="preserve"> Therefore, </w:t>
      </w:r>
      <w:r w:rsidRPr="00C57FC8">
        <w:t>TQP funds may be used to expand</w:t>
      </w:r>
      <w:r>
        <w:t xml:space="preserve"> or enhance</w:t>
      </w:r>
      <w:r w:rsidRPr="00C57FC8">
        <w:t xml:space="preserve"> capacity of existing </w:t>
      </w:r>
      <w:r>
        <w:t xml:space="preserve">teaching </w:t>
      </w:r>
      <w:r w:rsidRPr="00C57FC8">
        <w:t>residency programs</w:t>
      </w:r>
      <w:r>
        <w:t xml:space="preserve">, </w:t>
      </w:r>
      <w:r w:rsidRPr="00C57FC8">
        <w:t xml:space="preserve">but </w:t>
      </w:r>
      <w:r>
        <w:t xml:space="preserve">the grant </w:t>
      </w:r>
      <w:r w:rsidRPr="00C57FC8">
        <w:t xml:space="preserve">may not be used to pay for </w:t>
      </w:r>
      <w:proofErr w:type="gramStart"/>
      <w:r w:rsidRPr="00C57FC8">
        <w:t>currently</w:t>
      </w:r>
      <w:r>
        <w:t>-provided</w:t>
      </w:r>
      <w:proofErr w:type="gramEnd"/>
      <w:r w:rsidRPr="00C57FC8">
        <w:t xml:space="preserve"> services.</w:t>
      </w:r>
      <w:r>
        <w:t xml:space="preserve"> </w:t>
      </w:r>
    </w:p>
    <w:p w:rsidR="002D2274" w:rsidRPr="002D2274" w:rsidRDefault="002D2274" w:rsidP="002D2274">
      <w:pPr>
        <w:pStyle w:val="Heading2"/>
      </w:pPr>
      <w:bookmarkStart w:id="2" w:name="_Toc513617664"/>
      <w:r w:rsidRPr="002D2274">
        <w:t>How might an IHE partner document that it has a school or department of arts and sciences within such partner institution?</w:t>
      </w:r>
      <w:bookmarkEnd w:id="2"/>
    </w:p>
    <w:p w:rsidR="002D2274" w:rsidRDefault="002D2274" w:rsidP="002D2274">
      <w:r>
        <w:t xml:space="preserve">An eligible partnership can demonstrate that an IHE’s (partner institution’s) </w:t>
      </w:r>
      <w:r w:rsidRPr="00C57FC8">
        <w:t>school or department</w:t>
      </w:r>
      <w:r>
        <w:t xml:space="preserve"> of arts and sciences is a partner in several ways. For example: </w:t>
      </w:r>
    </w:p>
    <w:p w:rsidR="002D2274" w:rsidRDefault="002D2274" w:rsidP="002D2274">
      <w:pPr>
        <w:pStyle w:val="ListParagraph"/>
        <w:numPr>
          <w:ilvl w:val="0"/>
          <w:numId w:val="20"/>
        </w:numPr>
      </w:pPr>
      <w:r>
        <w:t>T</w:t>
      </w:r>
      <w:r w:rsidRPr="00A56B27">
        <w:t xml:space="preserve">he partnership could include in the application written confirmation from the dean or other officials of the school </w:t>
      </w:r>
      <w:r>
        <w:t xml:space="preserve">or department </w:t>
      </w:r>
      <w:r w:rsidRPr="00A56B27">
        <w:t>of arts and sciences that it is a partner.</w:t>
      </w:r>
      <w:r>
        <w:t xml:space="preserve"> </w:t>
      </w:r>
    </w:p>
    <w:p w:rsidR="002D2274" w:rsidRPr="00C57FC8" w:rsidRDefault="002D2274" w:rsidP="002D2274">
      <w:pPr>
        <w:pStyle w:val="ListParagraph"/>
        <w:numPr>
          <w:ilvl w:val="0"/>
          <w:numId w:val="20"/>
        </w:numPr>
      </w:pPr>
      <w:r>
        <w:t xml:space="preserve">The </w:t>
      </w:r>
      <w:r w:rsidRPr="00A56B27">
        <w:t>application could include documentation of active representation in the eligible partnership of one or more faculty members from that school of arts and sciences, along with conf</w:t>
      </w:r>
      <w:r>
        <w:t>i</w:t>
      </w:r>
      <w:r w:rsidRPr="00A56B27">
        <w:t>rmation from the faculty member(s) that</w:t>
      </w:r>
      <w:r>
        <w:t>:</w:t>
      </w:r>
      <w:r w:rsidRPr="00A56B27">
        <w:t xml:space="preserve"> (1) the faculty member(s) </w:t>
      </w:r>
      <w:r>
        <w:t>represents</w:t>
      </w:r>
      <w:r w:rsidRPr="00A56B27">
        <w:t xml:space="preserve"> the school of arts and science</w:t>
      </w:r>
      <w:r>
        <w:t>;</w:t>
      </w:r>
      <w:r w:rsidRPr="00A56B27">
        <w:t xml:space="preserve"> and (2) as the project proceeds, the faculty member(s) will work in close consultation with the school’s chair and academic dean to ensure that teaching residents benefit from any subject</w:t>
      </w:r>
      <w:r>
        <w:t xml:space="preserve"> </w:t>
      </w:r>
      <w:r w:rsidRPr="00A56B27">
        <w:t>matter content.</w:t>
      </w:r>
    </w:p>
    <w:p w:rsidR="002D2274" w:rsidRPr="00C57FC8" w:rsidRDefault="002D2274" w:rsidP="002D2274">
      <w:r w:rsidRPr="00C57FC8">
        <w:t xml:space="preserve">In addition, if </w:t>
      </w:r>
      <w:r>
        <w:t xml:space="preserve">a partner institution </w:t>
      </w:r>
      <w:r w:rsidRPr="00C57FC8">
        <w:t>does not have a school</w:t>
      </w:r>
      <w:r>
        <w:t xml:space="preserve"> or department </w:t>
      </w:r>
      <w:r w:rsidRPr="00C57FC8">
        <w:t xml:space="preserve">of arts and sciences, the eligible partnership may </w:t>
      </w:r>
      <w:r>
        <w:t>include an additional partner institution</w:t>
      </w:r>
      <w:r w:rsidRPr="00C57FC8">
        <w:t xml:space="preserve"> that does</w:t>
      </w:r>
      <w:r>
        <w:t>—</w:t>
      </w:r>
      <w:r w:rsidRPr="00C57FC8">
        <w:t xml:space="preserve">provided that </w:t>
      </w:r>
      <w:r>
        <w:t>the</w:t>
      </w:r>
      <w:r w:rsidRPr="00C57FC8">
        <w:t xml:space="preserve"> eligible partnership </w:t>
      </w:r>
      <w:r>
        <w:t xml:space="preserve">application </w:t>
      </w:r>
      <w:r w:rsidRPr="00C57FC8">
        <w:t xml:space="preserve">and project management plan clarify how the multiple </w:t>
      </w:r>
      <w:r>
        <w:t>partner institutions</w:t>
      </w:r>
      <w:r w:rsidRPr="00C57FC8">
        <w:t>, teacher preparation program(s), and school</w:t>
      </w:r>
      <w:r>
        <w:t xml:space="preserve"> or department</w:t>
      </w:r>
      <w:r w:rsidRPr="00C57FC8">
        <w:t xml:space="preserve"> of arts and sciences will work together to promote </w:t>
      </w:r>
      <w:r>
        <w:t xml:space="preserve">the </w:t>
      </w:r>
      <w:r w:rsidRPr="00C57FC8">
        <w:t xml:space="preserve">success of the </w:t>
      </w:r>
      <w:r>
        <w:t xml:space="preserve">TQP </w:t>
      </w:r>
      <w:r w:rsidRPr="00C57FC8">
        <w:t>project.</w:t>
      </w:r>
    </w:p>
    <w:p w:rsidR="002D2274" w:rsidRPr="002D2274" w:rsidRDefault="002D2274" w:rsidP="002D2274">
      <w:pPr>
        <w:pStyle w:val="Heading2"/>
      </w:pPr>
      <w:bookmarkStart w:id="3" w:name="_Toc513617665"/>
      <w:r w:rsidRPr="002D2274">
        <w:t>May two-year IHEs be considered partner institutions?</w:t>
      </w:r>
      <w:bookmarkEnd w:id="3"/>
    </w:p>
    <w:p w:rsidR="002D2274" w:rsidRPr="002D2274" w:rsidRDefault="002D2274" w:rsidP="002D2274">
      <w:pPr>
        <w:rPr>
          <w:b/>
          <w:bCs/>
        </w:rPr>
      </w:pPr>
      <w:r w:rsidRPr="00C57FC8">
        <w:t>Yes.</w:t>
      </w:r>
      <w:r>
        <w:t xml:space="preserve"> </w:t>
      </w:r>
      <w:r w:rsidRPr="00C57FC8">
        <w:t xml:space="preserve">Two-year IHEs may be partner institutions </w:t>
      </w:r>
      <w:proofErr w:type="gramStart"/>
      <w:r w:rsidRPr="00C57FC8">
        <w:t>as long as</w:t>
      </w:r>
      <w:proofErr w:type="gramEnd"/>
      <w:r>
        <w:t>:</w:t>
      </w:r>
      <w:r w:rsidRPr="00C57FC8">
        <w:t xml:space="preserve"> (1) they have a formal articulation agreement for a dual program with a four-year IHE participating in the eligible partnership</w:t>
      </w:r>
      <w:r>
        <w:t>;</w:t>
      </w:r>
      <w:r w:rsidRPr="00C57FC8">
        <w:t xml:space="preserve"> and (2) </w:t>
      </w:r>
      <w:r>
        <w:t xml:space="preserve">the </w:t>
      </w:r>
      <w:r w:rsidRPr="00C57FC8">
        <w:t>four-year IHE has a teacher preparation program that meets the definition of “partner institution.”</w:t>
      </w:r>
      <w:r>
        <w:t xml:space="preserve"> </w:t>
      </w:r>
      <w:r w:rsidRPr="00344ABF">
        <w:t>See</w:t>
      </w:r>
      <w:r w:rsidRPr="008D56CF">
        <w:t xml:space="preserve"> </w:t>
      </w:r>
      <w:r>
        <w:t xml:space="preserve">the definition of “partner institution” in </w:t>
      </w:r>
      <w:r w:rsidRPr="00C57FC8">
        <w:t xml:space="preserve">HEA </w:t>
      </w:r>
      <w:r>
        <w:t>section</w:t>
      </w:r>
      <w:r w:rsidRPr="00C57FC8">
        <w:t xml:space="preserve"> 200(17).</w:t>
      </w:r>
    </w:p>
    <w:p w:rsidR="002D2274" w:rsidRPr="002D2274" w:rsidRDefault="002D2274" w:rsidP="002D2274">
      <w:pPr>
        <w:pStyle w:val="Heading2"/>
      </w:pPr>
      <w:bookmarkStart w:id="4" w:name="_Toc513617666"/>
      <w:r w:rsidRPr="002D2274">
        <w:t>How does an elig</w:t>
      </w:r>
      <w:r w:rsidR="00C30B6F">
        <w:t>ible applicant determine that</w:t>
      </w:r>
      <w:r w:rsidRPr="002D2274">
        <w:t xml:space="preserve"> its high-need local educational agency (LEA) has at least 20 percent of, or at least 10,000 “children from low-income families”?</w:t>
      </w:r>
      <w:bookmarkEnd w:id="4"/>
    </w:p>
    <w:p w:rsidR="002D2274" w:rsidRPr="00A56B27" w:rsidRDefault="002D2274" w:rsidP="002D2274">
      <w:r>
        <w:t xml:space="preserve">HEA section 200(2) defines the phrase </w:t>
      </w:r>
      <w:r w:rsidRPr="00721902">
        <w:t>“children from low-income families</w:t>
      </w:r>
      <w:r>
        <w:t xml:space="preserve">” as described </w:t>
      </w:r>
      <w:r w:rsidRPr="00A56B27">
        <w:t xml:space="preserve">in </w:t>
      </w:r>
      <w:r>
        <w:t>s</w:t>
      </w:r>
      <w:r w:rsidRPr="00A56B27">
        <w:t>ection</w:t>
      </w:r>
      <w:r>
        <w:t xml:space="preserve"> 1124(c)(1)(A) of the Elementary and Secondary Education Act of 1965, as amended (ESEA).</w:t>
      </w:r>
      <w:r w:rsidR="00D042F0">
        <w:t xml:space="preserve"> </w:t>
      </w:r>
      <w:r w:rsidRPr="00A56B27">
        <w:t>That ESEA provision requires use of the most recent poverty data issued by the U</w:t>
      </w:r>
      <w:r>
        <w:t>nited States</w:t>
      </w:r>
      <w:r w:rsidRPr="00A56B27">
        <w:t xml:space="preserve"> Census Bureau. These data may be found in the following links:</w:t>
      </w:r>
    </w:p>
    <w:p w:rsidR="002D2274" w:rsidRDefault="00912798" w:rsidP="002D2274">
      <w:pPr>
        <w:pStyle w:val="ListParagraph"/>
        <w:numPr>
          <w:ilvl w:val="0"/>
          <w:numId w:val="21"/>
        </w:numPr>
      </w:pPr>
      <w:r>
        <w:t xml:space="preserve">For Census Bureau information: </w:t>
      </w:r>
      <w:hyperlink r:id="rId11" w:history="1">
        <w:r w:rsidR="002D2274" w:rsidRPr="00235533">
          <w:rPr>
            <w:rStyle w:val="Hyperlink"/>
          </w:rPr>
          <w:t>https://www.census.gov/programs-surveys/saipe.html</w:t>
        </w:r>
      </w:hyperlink>
      <w:r w:rsidR="002D2274">
        <w:t xml:space="preserve"> </w:t>
      </w:r>
    </w:p>
    <w:p w:rsidR="002D2274" w:rsidRPr="00C57FC8" w:rsidRDefault="002D2274" w:rsidP="002D2274">
      <w:r w:rsidRPr="00A56B27">
        <w:t>If the Census Bureau data do not include poverty data for a particular</w:t>
      </w:r>
      <w:r>
        <w:t xml:space="preserve"> </w:t>
      </w:r>
      <w:r w:rsidRPr="00A56B27">
        <w:t xml:space="preserve">LEA, such as a charter school with LEA status, a newly created LEA, </w:t>
      </w:r>
      <w:r>
        <w:t xml:space="preserve">or a </w:t>
      </w:r>
      <w:r w:rsidRPr="00A56B27">
        <w:t>Bureau of Indian Education (BIE)</w:t>
      </w:r>
      <w:r>
        <w:t xml:space="preserve"> </w:t>
      </w:r>
      <w:r w:rsidRPr="00A56B27">
        <w:t xml:space="preserve">funded school, </w:t>
      </w:r>
      <w:r w:rsidRPr="003E5EB2">
        <w:t>the eligible partnership should</w:t>
      </w:r>
      <w:r>
        <w:t xml:space="preserve"> include in its application documentation that supports the conclusion that the level of its students’ family poverty is comparable to 20 percent of, or at least 10,000 children from low income families. The Department will review these submissions on a case-by-case basis.</w:t>
      </w:r>
    </w:p>
    <w:p w:rsidR="002D2274" w:rsidRPr="002D2274" w:rsidRDefault="002D2274" w:rsidP="002D2274">
      <w:pPr>
        <w:pStyle w:val="Heading2"/>
      </w:pPr>
      <w:bookmarkStart w:id="5" w:name="_Toc513617667"/>
      <w:r w:rsidRPr="002D2274">
        <w:t>Are all schools within the high-need LEA eligible to receive project services?</w:t>
      </w:r>
      <w:bookmarkEnd w:id="5"/>
    </w:p>
    <w:p w:rsidR="002D2274" w:rsidRDefault="002D2274" w:rsidP="002D2274">
      <w:r>
        <w:t>It depends</w:t>
      </w:r>
      <w:r w:rsidR="001F42AD">
        <w:t xml:space="preserve"> on whether that school is a “high need school” in th</w:t>
      </w:r>
      <w:r w:rsidR="00ED4F4B">
        <w:t>e</w:t>
      </w:r>
      <w:r w:rsidR="001F42AD">
        <w:t xml:space="preserve"> </w:t>
      </w:r>
      <w:r w:rsidR="00ED4F4B">
        <w:t xml:space="preserve">high-need </w:t>
      </w:r>
      <w:r w:rsidR="001F42AD">
        <w:t>LEA.</w:t>
      </w:r>
      <w:r w:rsidR="00D042F0">
        <w:t xml:space="preserve"> </w:t>
      </w:r>
      <w:r w:rsidRPr="00C57FC8">
        <w:t>Teach</w:t>
      </w:r>
      <w:r>
        <w:t>ing</w:t>
      </w:r>
      <w:r w:rsidRPr="00C57FC8">
        <w:t xml:space="preserve"> residency program participants must teach in a </w:t>
      </w:r>
      <w:r>
        <w:t>“</w:t>
      </w:r>
      <w:r w:rsidRPr="00C57FC8">
        <w:t>high-need school</w:t>
      </w:r>
      <w:r>
        <w:t>”</w:t>
      </w:r>
      <w:r w:rsidRPr="00C57FC8">
        <w:t xml:space="preserve"> </w:t>
      </w:r>
      <w:r>
        <w:t xml:space="preserve">of the high-need LEA in order </w:t>
      </w:r>
      <w:r w:rsidRPr="00C57FC8">
        <w:t>to meet their service requirement.</w:t>
      </w:r>
      <w:r>
        <w:t xml:space="preserve"> A high-need school, as defined in HEA section 200(11), includes elementary schools that have at least 60 percent of students eligible for free or reduced-price lunch (FRPL) and middle or high schools that have at least 45 percent of students eligible for FRPL. Alternatively, a school is considered a “high-need school” if it is ranked in the highest quartile of schools of children from low-income families. </w:t>
      </w:r>
      <w:r w:rsidRPr="00242ADE">
        <w:t>See</w:t>
      </w:r>
      <w:r>
        <w:rPr>
          <w:i/>
        </w:rPr>
        <w:t xml:space="preserve"> </w:t>
      </w:r>
      <w:r>
        <w:t xml:space="preserve">the definition of “high-need school” in HEA section 200(11) and </w:t>
      </w:r>
      <w:r w:rsidR="00C30B6F">
        <w:t>Q</w:t>
      </w:r>
      <w:r>
        <w:t>uestio</w:t>
      </w:r>
      <w:r w:rsidR="00C30B6F">
        <w:t>n 6 for more information.</w:t>
      </w:r>
    </w:p>
    <w:p w:rsidR="002D2274" w:rsidRPr="002D2274" w:rsidRDefault="001F42AD" w:rsidP="002D2274">
      <w:pPr>
        <w:pStyle w:val="Heading2"/>
      </w:pPr>
      <w:bookmarkStart w:id="6" w:name="_Toc513617668"/>
      <w:r>
        <w:t>Is there a specific definition for “high percentage” that needs to be used for</w:t>
      </w:r>
      <w:r w:rsidR="002D2274" w:rsidRPr="002D2274">
        <w:t xml:space="preserve"> teachers</w:t>
      </w:r>
      <w:r>
        <w:t xml:space="preserve"> who are</w:t>
      </w:r>
      <w:r w:rsidR="002D2274" w:rsidRPr="002D2274">
        <w:t xml:space="preserve"> not teaching in the academic subject areas or grade levels in which the teachers were trained to teach,</w:t>
      </w:r>
      <w:r w:rsidR="002D2274" w:rsidRPr="002D2274" w:rsidDel="00AE5376">
        <w:t xml:space="preserve"> </w:t>
      </w:r>
      <w:r w:rsidR="002D2274" w:rsidRPr="002D2274">
        <w:t>a high teacher turnover rate</w:t>
      </w:r>
      <w:r w:rsidR="00AE5376">
        <w:t>,</w:t>
      </w:r>
      <w:r w:rsidR="002D2274" w:rsidRPr="002D2274">
        <w:t xml:space="preserve"> or a high percentage of teachers with emergency, provisional, or temporary certification or licensure?</w:t>
      </w:r>
      <w:bookmarkEnd w:id="6"/>
    </w:p>
    <w:p w:rsidR="002D2274" w:rsidRDefault="002D2274" w:rsidP="002D2274">
      <w:r>
        <w:t xml:space="preserve">The Department </w:t>
      </w:r>
      <w:r w:rsidR="00186E2C">
        <w:t>does not</w:t>
      </w:r>
      <w:r>
        <w:t xml:space="preserve"> set threshold of what constitutes a </w:t>
      </w:r>
      <w:r w:rsidRPr="00A43EA7">
        <w:t>high percentage of teachers not teaching in the academic subject areas or grade levels in which the teachers were trained to teach,</w:t>
      </w:r>
      <w:r w:rsidRPr="00A43EA7" w:rsidDel="00AE5376">
        <w:t xml:space="preserve"> </w:t>
      </w:r>
      <w:r w:rsidRPr="00A43EA7">
        <w:t>a high teacher turnover rate</w:t>
      </w:r>
      <w:r w:rsidR="00AE5376">
        <w:t>,</w:t>
      </w:r>
      <w:r w:rsidRPr="00A43EA7">
        <w:t xml:space="preserve"> or a high percentage of teachers with emergency, provisional, or temporary certification or licensure</w:t>
      </w:r>
      <w:r>
        <w:t>. Therefore, eligible applicants should include in their application</w:t>
      </w:r>
      <w:r w:rsidR="00AE5376">
        <w:t>s</w:t>
      </w:r>
      <w:r>
        <w:t xml:space="preserve"> documentation to support the conclusion that any LEA they would identify as a high-need LEA has one of these teacher-need characteristics. The Department will review these submissions on a case-by-case basis.</w:t>
      </w:r>
    </w:p>
    <w:p w:rsidR="002D2274" w:rsidRPr="002D2274" w:rsidRDefault="002D2274" w:rsidP="002D2274">
      <w:pPr>
        <w:pStyle w:val="Heading2"/>
      </w:pPr>
      <w:bookmarkStart w:id="7" w:name="Question23"/>
      <w:bookmarkStart w:id="8" w:name="_Toc513617669"/>
      <w:bookmarkEnd w:id="7"/>
      <w:r w:rsidRPr="002D2274">
        <w:t>Is a charter school eligible to be a member of an eligible partnership?</w:t>
      </w:r>
      <w:bookmarkEnd w:id="8"/>
    </w:p>
    <w:p w:rsidR="002D2274" w:rsidRDefault="002D2274" w:rsidP="002D2274">
      <w:r>
        <w:t>Yes. A charter school may be eligible in one of two ways. First, a charter school is eligible as a required member of the eligible partnership under HEA section 200(6)(A) if it: (1) I</w:t>
      </w:r>
      <w:r w:rsidRPr="00C57FC8">
        <w:t>s considered</w:t>
      </w:r>
      <w:r>
        <w:t xml:space="preserve"> an LEA </w:t>
      </w:r>
      <w:r w:rsidRPr="00C57FC8">
        <w:t>by the State in which it is located</w:t>
      </w:r>
      <w:r>
        <w:t>; and (2)</w:t>
      </w:r>
      <w:r w:rsidRPr="00C57FC8">
        <w:t xml:space="preserve"> meets the </w:t>
      </w:r>
      <w:r>
        <w:t xml:space="preserve">definition </w:t>
      </w:r>
      <w:r w:rsidRPr="00C57FC8">
        <w:t>of a high-need LEA</w:t>
      </w:r>
      <w:r>
        <w:t xml:space="preserve"> </w:t>
      </w:r>
      <w:r w:rsidRPr="00C57FC8">
        <w:t xml:space="preserve">in </w:t>
      </w:r>
      <w:r>
        <w:t>HEA section</w:t>
      </w:r>
      <w:r w:rsidRPr="00C57FC8">
        <w:t xml:space="preserve"> 200(1</w:t>
      </w:r>
      <w:r>
        <w:t xml:space="preserve">0). Second, a charter school may be an optional member of the eligible partnership under HEA section 200(6)(B)(x), provided it meets the definition of a high-need school in HEA section 200(11). </w:t>
      </w:r>
    </w:p>
    <w:p w:rsidR="002D2274" w:rsidRPr="00C57FC8" w:rsidRDefault="002D2274" w:rsidP="002D2274">
      <w:r>
        <w:t xml:space="preserve">If a charter school is considered an LEA in the State in which it is located, </w:t>
      </w:r>
      <w:r w:rsidR="00483F2C">
        <w:t>the Department</w:t>
      </w:r>
      <w:r>
        <w:t xml:space="preserve"> strongly recommend</w:t>
      </w:r>
      <w:r w:rsidR="00483F2C">
        <w:t>s</w:t>
      </w:r>
      <w:r>
        <w:t xml:space="preserve"> the </w:t>
      </w:r>
      <w:r w:rsidR="00C4718D">
        <w:t>applicant</w:t>
      </w:r>
      <w:r>
        <w:t xml:space="preserve"> submit documentation that supp</w:t>
      </w:r>
      <w:r w:rsidR="00C4718D">
        <w:t>orts that the State considers the charter school</w:t>
      </w:r>
      <w:r>
        <w:t xml:space="preserve"> an LEA.</w:t>
      </w:r>
    </w:p>
    <w:p w:rsidR="002D2274" w:rsidRPr="00C57FC8" w:rsidRDefault="00813CE5" w:rsidP="002D2274">
      <w:pPr>
        <w:pStyle w:val="Heading2"/>
      </w:pPr>
      <w:bookmarkStart w:id="9" w:name="_Toc513617670"/>
      <w:r>
        <w:t xml:space="preserve">May an individual member </w:t>
      </w:r>
      <w:r w:rsidR="00483F2C">
        <w:t xml:space="preserve">of an eligible partnership </w:t>
      </w:r>
      <w:r w:rsidR="002D2274" w:rsidRPr="00C57FC8">
        <w:t>be a partner in more than one application?</w:t>
      </w:r>
      <w:bookmarkEnd w:id="9"/>
      <w:r w:rsidR="002D2274" w:rsidRPr="00C57FC8">
        <w:t xml:space="preserve"> </w:t>
      </w:r>
    </w:p>
    <w:p w:rsidR="002D2274" w:rsidRDefault="002D2274" w:rsidP="002D2274">
      <w:r w:rsidRPr="00C57FC8">
        <w:t>Yes.</w:t>
      </w:r>
      <w:r>
        <w:t xml:space="preserve"> </w:t>
      </w:r>
      <w:r w:rsidR="00813CE5">
        <w:t xml:space="preserve">An individual </w:t>
      </w:r>
      <w:r w:rsidR="001F42AD">
        <w:t xml:space="preserve">entity </w:t>
      </w:r>
      <w:r w:rsidRPr="00C57FC8">
        <w:t xml:space="preserve">may </w:t>
      </w:r>
      <w:r w:rsidR="00C90904">
        <w:t>be a member of</w:t>
      </w:r>
      <w:r w:rsidRPr="00C57FC8">
        <w:t xml:space="preserve"> more than one TQP grant</w:t>
      </w:r>
      <w:r w:rsidR="001F42AD">
        <w:t xml:space="preserve"> </w:t>
      </w:r>
      <w:proofErr w:type="gramStart"/>
      <w:r w:rsidR="001F42AD">
        <w:t>application</w:t>
      </w:r>
      <w:proofErr w:type="gramEnd"/>
      <w:r w:rsidR="001F42AD">
        <w:t xml:space="preserve"> but a</w:t>
      </w:r>
      <w:r>
        <w:t>n eligible partnership may not receive a TQP grant more than once in a five-year period (see HEA section 203(a)(2))</w:t>
      </w:r>
      <w:r w:rsidR="009A33D5">
        <w:t>.</w:t>
      </w:r>
      <w:r>
        <w:t xml:space="preserve"> </w:t>
      </w:r>
      <w:r w:rsidR="009A33D5">
        <w:t>T</w:t>
      </w:r>
      <w:r>
        <w:t xml:space="preserve">he partnership </w:t>
      </w:r>
      <w:proofErr w:type="gramStart"/>
      <w:r w:rsidRPr="00813CE5">
        <w:rPr>
          <w:i/>
        </w:rPr>
        <w:t>as a whole</w:t>
      </w:r>
      <w:r>
        <w:t xml:space="preserve"> </w:t>
      </w:r>
      <w:r w:rsidR="00813CE5">
        <w:t>can</w:t>
      </w:r>
      <w:proofErr w:type="gramEnd"/>
      <w:r>
        <w:t xml:space="preserve"> only </w:t>
      </w:r>
      <w:r w:rsidR="00813CE5">
        <w:t>be awarded one TQP grant</w:t>
      </w:r>
      <w:r w:rsidR="00EA218B">
        <w:t xml:space="preserve"> within a five-year period</w:t>
      </w:r>
      <w:r w:rsidR="00813CE5">
        <w:t xml:space="preserve">. </w:t>
      </w:r>
      <w:r w:rsidR="00C90904">
        <w:t>Therefore, e</w:t>
      </w:r>
      <w:r w:rsidR="00813CE5">
        <w:t>ligible partnerships awarded a grant during the</w:t>
      </w:r>
      <w:r>
        <w:t xml:space="preserve"> FY 2014, FY 2016, or FY 2018 TQP competitions</w:t>
      </w:r>
      <w:r w:rsidR="00813CE5">
        <w:t xml:space="preserve"> are ineligible to receive a new grant</w:t>
      </w:r>
      <w:r>
        <w:t xml:space="preserve"> as those TQP grants were awarded less than five years ago.</w:t>
      </w:r>
      <w:r w:rsidR="00365E68">
        <w:t xml:space="preserve"> However, individual entities may be a member of more than one partnership simultaneously.</w:t>
      </w:r>
    </w:p>
    <w:p w:rsidR="002D2274" w:rsidRPr="002D2274" w:rsidRDefault="002D2274" w:rsidP="002D2274">
      <w:pPr>
        <w:pStyle w:val="Heading2"/>
      </w:pPr>
      <w:bookmarkStart w:id="10" w:name="_Toc513617671"/>
      <w:r w:rsidRPr="002D2274">
        <w:t xml:space="preserve">May FY 2014, FY </w:t>
      </w:r>
      <w:r w:rsidR="00A474F3" w:rsidRPr="002D2274">
        <w:t>2016</w:t>
      </w:r>
      <w:r w:rsidR="00D801D0">
        <w:t>,</w:t>
      </w:r>
      <w:r w:rsidR="00A474F3" w:rsidRPr="002D2274">
        <w:t xml:space="preserve"> or</w:t>
      </w:r>
      <w:r w:rsidRPr="002D2274">
        <w:t xml:space="preserve"> FY 2018 TQP eligible partnership grantees </w:t>
      </w:r>
      <w:r w:rsidR="00EA218B">
        <w:t>receive a FY 2019 TQP grant</w:t>
      </w:r>
      <w:r w:rsidRPr="002D2274">
        <w:t>?</w:t>
      </w:r>
      <w:bookmarkEnd w:id="10"/>
    </w:p>
    <w:p w:rsidR="00E949AE" w:rsidRDefault="002D2274" w:rsidP="00E949AE">
      <w:r w:rsidRPr="00C57FC8">
        <w:t>No.</w:t>
      </w:r>
      <w:r>
        <w:t xml:space="preserve"> HEA section</w:t>
      </w:r>
      <w:r w:rsidRPr="00C57FC8">
        <w:t xml:space="preserve"> 203(a)(2) prohibits an </w:t>
      </w:r>
      <w:r w:rsidRPr="00402FA0">
        <w:rPr>
          <w:i/>
        </w:rPr>
        <w:t>eligible partnership</w:t>
      </w:r>
      <w:r w:rsidRPr="00C57FC8">
        <w:t xml:space="preserve"> from receiving more than one TQP </w:t>
      </w:r>
      <w:r w:rsidR="0034481D">
        <w:t xml:space="preserve">grant </w:t>
      </w:r>
      <w:r w:rsidRPr="00C57FC8">
        <w:t>award during a five-year period</w:t>
      </w:r>
      <w:r w:rsidR="00483F2C">
        <w:t>.</w:t>
      </w:r>
      <w:r w:rsidR="000920E1">
        <w:t xml:space="preserve"> </w:t>
      </w:r>
      <w:r w:rsidR="00483F2C">
        <w:t>T</w:t>
      </w:r>
      <w:r w:rsidR="000920E1">
        <w:t xml:space="preserve">he </w:t>
      </w:r>
      <w:r w:rsidR="00D801D0">
        <w:t>FY 2014, FY 2016 and</w:t>
      </w:r>
      <w:r w:rsidR="000920E1" w:rsidRPr="000920E1">
        <w:t xml:space="preserve"> FY 2018 </w:t>
      </w:r>
      <w:r w:rsidR="000920E1">
        <w:t>TQP grants were awarded less than five years ago</w:t>
      </w:r>
      <w:r w:rsidRPr="00C57FC8">
        <w:t>.</w:t>
      </w:r>
      <w:r w:rsidR="0034481D">
        <w:t xml:space="preserve"> As noted in Question 10, </w:t>
      </w:r>
      <w:r w:rsidR="0034481D" w:rsidRPr="0034481D">
        <w:rPr>
          <w:i/>
        </w:rPr>
        <w:t xml:space="preserve">individual members </w:t>
      </w:r>
      <w:r w:rsidR="00483F2C">
        <w:t xml:space="preserve">of eligible partnerships that received awards </w:t>
      </w:r>
      <w:r w:rsidR="0034481D" w:rsidRPr="00903E92">
        <w:t xml:space="preserve">in the </w:t>
      </w:r>
      <w:r w:rsidR="0034481D">
        <w:t xml:space="preserve">FY </w:t>
      </w:r>
      <w:r w:rsidR="0034481D" w:rsidRPr="00903E92">
        <w:t>2014</w:t>
      </w:r>
      <w:r w:rsidR="0034481D">
        <w:t>, FY 2016, or FY 2018</w:t>
      </w:r>
      <w:r w:rsidR="0034481D" w:rsidRPr="00903E92">
        <w:t xml:space="preserve"> TQP </w:t>
      </w:r>
      <w:r w:rsidR="0034481D">
        <w:t xml:space="preserve">grant </w:t>
      </w:r>
      <w:r w:rsidR="0034481D" w:rsidRPr="00903E92">
        <w:t>competition</w:t>
      </w:r>
      <w:r w:rsidR="0034481D">
        <w:t>s</w:t>
      </w:r>
      <w:r w:rsidR="0034481D" w:rsidRPr="00903E92">
        <w:t xml:space="preserve"> are eligible to apply in this competition so long as they apply as members of a different </w:t>
      </w:r>
      <w:r w:rsidR="0034481D">
        <w:t xml:space="preserve">eligible </w:t>
      </w:r>
      <w:r w:rsidR="0034481D" w:rsidRPr="00903E92">
        <w:t xml:space="preserve">partnership than the one that received an award </w:t>
      </w:r>
      <w:r w:rsidR="0034481D">
        <w:t>in the last five years and demonstrate their need for the additional TQP grant consistent with HEA section 203(a)(2)</w:t>
      </w:r>
      <w:r w:rsidR="0034481D" w:rsidRPr="00903E92">
        <w:t>.</w:t>
      </w:r>
    </w:p>
    <w:p w:rsidR="002D2274" w:rsidRDefault="002D2274" w:rsidP="002D2274">
      <w:pPr>
        <w:pStyle w:val="Heading2"/>
      </w:pPr>
      <w:r w:rsidRPr="002D2274">
        <w:t>How may an applicant change its eligible partnership</w:t>
      </w:r>
      <w:r w:rsidR="0000759A">
        <w:t xml:space="preserve"> in its existing TQP</w:t>
      </w:r>
      <w:r w:rsidRPr="002D2274">
        <w:t xml:space="preserve"> </w:t>
      </w:r>
      <w:r w:rsidR="00CA2DA4">
        <w:t xml:space="preserve">grant </w:t>
      </w:r>
      <w:r w:rsidRPr="002D2274">
        <w:t xml:space="preserve">to participate in the FY </w:t>
      </w:r>
      <w:r w:rsidR="0000759A">
        <w:t>20</w:t>
      </w:r>
      <w:r w:rsidRPr="002D2274">
        <w:t>19 TQP competition?</w:t>
      </w:r>
    </w:p>
    <w:p w:rsidR="00D801D0" w:rsidRDefault="00D801D0" w:rsidP="00D801D0">
      <w:r>
        <w:t xml:space="preserve">In order to </w:t>
      </w:r>
      <w:r w:rsidR="00C862F8">
        <w:t xml:space="preserve">be eligible to </w:t>
      </w:r>
      <w:r>
        <w:t>receive a FY 2019 TQP</w:t>
      </w:r>
      <w:r w:rsidR="000D4B6D">
        <w:t xml:space="preserve"> grant</w:t>
      </w:r>
      <w:r>
        <w:t>, individual members</w:t>
      </w:r>
      <w:r w:rsidR="006B662D">
        <w:t xml:space="preserve"> of an eligible partnership awarded a grant less than five years ago</w:t>
      </w:r>
      <w:r>
        <w:t xml:space="preserve"> </w:t>
      </w:r>
      <w:r w:rsidR="001B01FF">
        <w:t xml:space="preserve">must </w:t>
      </w:r>
      <w:r>
        <w:t xml:space="preserve">find all-new partners to form </w:t>
      </w:r>
      <w:r w:rsidR="0040509E">
        <w:t>a new</w:t>
      </w:r>
      <w:r>
        <w:t xml:space="preserve"> eligible partnership (i.e. </w:t>
      </w:r>
      <w:r w:rsidR="00080ECD">
        <w:t xml:space="preserve">new </w:t>
      </w:r>
      <w:r>
        <w:t xml:space="preserve">partners that are not partners in their </w:t>
      </w:r>
      <w:r w:rsidR="00473ADF">
        <w:t xml:space="preserve">current </w:t>
      </w:r>
      <w:r>
        <w:t>FY 2014, FY 2016 or</w:t>
      </w:r>
      <w:r w:rsidRPr="000920E1">
        <w:t xml:space="preserve"> FY 2018 </w:t>
      </w:r>
      <w:r>
        <w:t>TQP grant)</w:t>
      </w:r>
      <w:r w:rsidR="0040509E">
        <w:t>.</w:t>
      </w:r>
      <w:r w:rsidR="00016E78">
        <w:t xml:space="preserve"> See HEA section 203(a)(2).</w:t>
      </w:r>
      <w:r w:rsidR="001F42AD" w:rsidRPr="001F42AD">
        <w:t xml:space="preserve"> </w:t>
      </w:r>
      <w:r w:rsidR="00715CFA">
        <w:t>In addition, a</w:t>
      </w:r>
      <w:r w:rsidR="00244A60">
        <w:t xml:space="preserve">pplicants </w:t>
      </w:r>
      <w:r w:rsidR="001F42AD" w:rsidRPr="001F42AD">
        <w:t xml:space="preserve">may not propose </w:t>
      </w:r>
      <w:r w:rsidR="001849AC">
        <w:t>projects that provide the same</w:t>
      </w:r>
      <w:r w:rsidR="001F42AD" w:rsidRPr="001F42AD">
        <w:t xml:space="preserve"> services </w:t>
      </w:r>
      <w:r w:rsidR="001849AC">
        <w:t>to the same recipients as those</w:t>
      </w:r>
      <w:r w:rsidR="001F42AD" w:rsidRPr="001F42AD">
        <w:t xml:space="preserve"> </w:t>
      </w:r>
      <w:r w:rsidR="00244A60">
        <w:t>in</w:t>
      </w:r>
      <w:r w:rsidR="001F42AD" w:rsidRPr="001F42AD">
        <w:t xml:space="preserve"> their existing TQP grants.</w:t>
      </w:r>
    </w:p>
    <w:p w:rsidR="00823B82" w:rsidRDefault="00823B82" w:rsidP="00823B82">
      <w:pPr>
        <w:pStyle w:val="Heading2"/>
      </w:pPr>
      <w:r>
        <w:t>How does an individual member</w:t>
      </w:r>
      <w:r w:rsidR="002D1367">
        <w:t xml:space="preserve"> of </w:t>
      </w:r>
      <w:r w:rsidR="009A33D5">
        <w:t xml:space="preserve">an </w:t>
      </w:r>
      <w:r w:rsidR="002D1367">
        <w:t xml:space="preserve">existing eligible partnership </w:t>
      </w:r>
      <w:r>
        <w:t>demonstrate the need for another TQP grant?</w:t>
      </w:r>
    </w:p>
    <w:p w:rsidR="00823B82" w:rsidRDefault="00823B82" w:rsidP="00D801D0">
      <w:r>
        <w:t xml:space="preserve">HEA section 203(a)(2) does not define how </w:t>
      </w:r>
      <w:r w:rsidRPr="00823B82">
        <w:t>an individual member</w:t>
      </w:r>
      <w:r w:rsidR="005A3C02">
        <w:t xml:space="preserve"> should</w:t>
      </w:r>
      <w:r w:rsidRPr="00823B82">
        <w:t xml:space="preserve"> demonstrate the need for another TQP grant</w:t>
      </w:r>
      <w:r>
        <w:t xml:space="preserve">. </w:t>
      </w:r>
      <w:r w:rsidR="005A3C02">
        <w:t>Therefore, applicants should use their best judgment in describing why an additional TQP grant is needed. Applications that do not demonstrate the need for an additional TQP grant, consistent with HEA section 203(a)(2), may not be reviewed.</w:t>
      </w:r>
    </w:p>
    <w:p w:rsidR="002D2274" w:rsidRPr="002D2274" w:rsidRDefault="002D2274" w:rsidP="002D2274">
      <w:pPr>
        <w:pStyle w:val="Heading2"/>
      </w:pPr>
      <w:bookmarkStart w:id="11" w:name="_Toc513617672"/>
      <w:r w:rsidRPr="002D2274">
        <w:t>Who may be the fiscal agent or lead applicant for the grant?</w:t>
      </w:r>
      <w:bookmarkEnd w:id="11"/>
    </w:p>
    <w:p w:rsidR="002D2274" w:rsidRDefault="002D2274" w:rsidP="002D2274">
      <w:r w:rsidRPr="00C57FC8">
        <w:t>The fiscal agent</w:t>
      </w:r>
      <w:r>
        <w:t xml:space="preserve"> or lead applicant</w:t>
      </w:r>
      <w:r w:rsidRPr="00C57FC8">
        <w:t xml:space="preserve"> may be any member of the eligible partnership.</w:t>
      </w:r>
      <w:r>
        <w:t xml:space="preserve"> </w:t>
      </w:r>
      <w:r w:rsidRPr="00C57FC8">
        <w:t xml:space="preserve">The eligible partnership </w:t>
      </w:r>
      <w:r>
        <w:t xml:space="preserve">should </w:t>
      </w:r>
      <w:r w:rsidRPr="00C57FC8">
        <w:t>decide which partner will be the fiscal agent</w:t>
      </w:r>
      <w:r w:rsidR="00753192">
        <w:t xml:space="preserve"> and lead applicant,</w:t>
      </w:r>
      <w:r>
        <w:t xml:space="preserve"> identify this partner in its application</w:t>
      </w:r>
      <w:r w:rsidR="00753192">
        <w:t>, and enter into an agreement that d</w:t>
      </w:r>
      <w:r w:rsidR="00753192" w:rsidRPr="00753192">
        <w:t>etails the activities that each member of the group plans to perform</w:t>
      </w:r>
      <w:r w:rsidR="00753192">
        <w:t xml:space="preserve"> and b</w:t>
      </w:r>
      <w:r w:rsidR="00753192" w:rsidRPr="00753192">
        <w:t>inds each member of the group to every statement and assurance made by the applicant in the application</w:t>
      </w:r>
      <w:r w:rsidRPr="00C57FC8">
        <w:t>.</w:t>
      </w:r>
      <w:r>
        <w:t xml:space="preserve"> See 34 CFR </w:t>
      </w:r>
      <w:r w:rsidRPr="00EA09C4">
        <w:t>§§</w:t>
      </w:r>
      <w:r>
        <w:t>75.127-129, “Group Applications,” for more information.</w:t>
      </w:r>
    </w:p>
    <w:p w:rsidR="002D2274" w:rsidRDefault="002D2274" w:rsidP="002D2274">
      <w:pPr>
        <w:pStyle w:val="Heading1"/>
      </w:pPr>
      <w:bookmarkStart w:id="12" w:name="_Toc513617678"/>
      <w:r>
        <w:t>Competitive Preference Priorities (CPP) Questions</w:t>
      </w:r>
      <w:bookmarkEnd w:id="12"/>
    </w:p>
    <w:p w:rsidR="002D2274" w:rsidRPr="002D2274" w:rsidRDefault="002D2274" w:rsidP="002D2274">
      <w:pPr>
        <w:pStyle w:val="Heading2"/>
      </w:pPr>
      <w:bookmarkStart w:id="13" w:name="_Toc513617679"/>
      <w:r w:rsidRPr="002D2274">
        <w:t>Should I address the CPPs in the application narrative, or in some other part of the application?</w:t>
      </w:r>
      <w:bookmarkEnd w:id="13"/>
    </w:p>
    <w:p w:rsidR="002D2274" w:rsidRDefault="002D2274" w:rsidP="002D2274">
      <w:r>
        <w:t>Applicants are strongly encouraged to clearly state in the Application Abstract which CPP(s) they intend to address.</w:t>
      </w:r>
      <w:r w:rsidR="00D042F0">
        <w:t xml:space="preserve"> </w:t>
      </w:r>
      <w:r>
        <w:t>Applicants are also strongly encouraged to include the</w:t>
      </w:r>
      <w:r w:rsidR="00473ADF">
        <w:t>ir</w:t>
      </w:r>
      <w:r>
        <w:t xml:space="preserve"> </w:t>
      </w:r>
      <w:r w:rsidR="00473ADF">
        <w:t xml:space="preserve">CPP response </w:t>
      </w:r>
      <w:r>
        <w:t xml:space="preserve">location in the Table of Contents </w:t>
      </w:r>
      <w:r w:rsidR="00DB185A">
        <w:t xml:space="preserve">(TOC) </w:t>
      </w:r>
      <w:r>
        <w:t xml:space="preserve">of the application. An applicant’s response to the CPP should be a separate response within the application narrative and labeled accordingly. Applicants that do not explicitly state which CPP(s) they are addressing </w:t>
      </w:r>
      <w:r w:rsidR="00A90372">
        <w:t xml:space="preserve">might </w:t>
      </w:r>
      <w:r>
        <w:t>not receive additional points.</w:t>
      </w:r>
    </w:p>
    <w:p w:rsidR="00877B23" w:rsidRPr="00CA3638" w:rsidRDefault="00877B23" w:rsidP="00CA3638">
      <w:pPr>
        <w:pStyle w:val="Heading2"/>
      </w:pPr>
      <w:bookmarkStart w:id="14" w:name="_Toc513617681"/>
      <w:r w:rsidRPr="00CA3638">
        <w:t xml:space="preserve">What is the </w:t>
      </w:r>
      <w:r w:rsidR="001B01FF">
        <w:t>CPP</w:t>
      </w:r>
      <w:r w:rsidRPr="00CA3638">
        <w:t xml:space="preserve"> for </w:t>
      </w:r>
      <w:r w:rsidR="00892293">
        <w:t>p</w:t>
      </w:r>
      <w:r w:rsidRPr="00CA3638">
        <w:t>rojects designed to improve student achievement or other educational outcomes in computer science (CPP</w:t>
      </w:r>
      <w:r w:rsidR="001B01FF">
        <w:t xml:space="preserve"> </w:t>
      </w:r>
      <w:r w:rsidRPr="00CA3638">
        <w:t>1)?</w:t>
      </w:r>
    </w:p>
    <w:p w:rsidR="00D03B6D" w:rsidRDefault="00877B23" w:rsidP="00D03B6D">
      <w:pPr>
        <w:spacing w:after="0"/>
      </w:pPr>
      <w:r>
        <w:t>This priority</w:t>
      </w:r>
      <w:r w:rsidR="0000203E">
        <w:t>, worth up to five CPP points,</w:t>
      </w:r>
      <w:r>
        <w:t xml:space="preserve"> is focused specifically on p</w:t>
      </w:r>
      <w:r w:rsidRPr="00877B23">
        <w:t>rojects designed to improve student achievement or other educational outcomes in computer science</w:t>
      </w:r>
      <w:r>
        <w:t xml:space="preserve"> by </w:t>
      </w:r>
      <w:r w:rsidRPr="00877B23">
        <w:t xml:space="preserve">increasing the number of educators adequately prepared to deliver rigorous instruction in </w:t>
      </w:r>
      <w:r w:rsidR="001937A4" w:rsidRPr="001937A4">
        <w:t xml:space="preserve">science, technology, engineering and math </w:t>
      </w:r>
      <w:r w:rsidR="001937A4">
        <w:t>(</w:t>
      </w:r>
      <w:r w:rsidRPr="00877B23">
        <w:t>STEM</w:t>
      </w:r>
      <w:r w:rsidR="001937A4">
        <w:t>)</w:t>
      </w:r>
      <w:r w:rsidRPr="00877B23">
        <w:t xml:space="preserve"> fields, including computer science, through</w:t>
      </w:r>
      <w:r w:rsidR="00DB185A">
        <w:t>:</w:t>
      </w:r>
    </w:p>
    <w:p w:rsidR="00D03B6D" w:rsidRDefault="00D03B6D" w:rsidP="00D03B6D">
      <w:pPr>
        <w:spacing w:after="0"/>
      </w:pPr>
    </w:p>
    <w:p w:rsidR="00D03B6D" w:rsidRDefault="00D03B6D" w:rsidP="002266AA">
      <w:pPr>
        <w:pStyle w:val="ListParagraph"/>
        <w:numPr>
          <w:ilvl w:val="0"/>
          <w:numId w:val="42"/>
        </w:numPr>
      </w:pPr>
      <w:r>
        <w:t>Recruitment;</w:t>
      </w:r>
      <w:r w:rsidR="0023349D">
        <w:t xml:space="preserve"> or</w:t>
      </w:r>
    </w:p>
    <w:p w:rsidR="00D03B6D" w:rsidRDefault="00D03B6D" w:rsidP="0023349D">
      <w:pPr>
        <w:pStyle w:val="ListParagraph"/>
        <w:numPr>
          <w:ilvl w:val="0"/>
          <w:numId w:val="42"/>
        </w:numPr>
      </w:pPr>
      <w:r>
        <w:t>E</w:t>
      </w:r>
      <w:r w:rsidR="00877B23" w:rsidRPr="00877B23">
        <w:t>vidence-based (as defined in 34 CFR 77.1) professional development strate</w:t>
      </w:r>
      <w:r w:rsidR="0023349D">
        <w:t>gies for current STEM educators.</w:t>
      </w:r>
      <w:r w:rsidR="00877B23" w:rsidRPr="00877B23">
        <w:t xml:space="preserve"> </w:t>
      </w:r>
    </w:p>
    <w:p w:rsidR="00877B23" w:rsidRPr="00877B23" w:rsidRDefault="0023349D" w:rsidP="0023349D">
      <w:r>
        <w:t>Applicants that propose “e</w:t>
      </w:r>
      <w:r w:rsidR="00877B23" w:rsidRPr="00877B23">
        <w:t xml:space="preserve">vidence-based retraining strategies for </w:t>
      </w:r>
      <w:r w:rsidR="00877B23" w:rsidRPr="00B70579">
        <w:rPr>
          <w:i/>
        </w:rPr>
        <w:t>current educators</w:t>
      </w:r>
      <w:r w:rsidR="00877B23" w:rsidRPr="00877B23">
        <w:t xml:space="preserve"> seeking to transition from other subjects to STEM fields</w:t>
      </w:r>
      <w:r>
        <w:t xml:space="preserve">” </w:t>
      </w:r>
      <w:r w:rsidR="008B1225">
        <w:t>(emphasis added) cannot</w:t>
      </w:r>
      <w:r>
        <w:t xml:space="preserve"> meet the Absolute Priority because the purpose of the TQP program </w:t>
      </w:r>
      <w:r w:rsidRPr="00C57FC8">
        <w:t xml:space="preserve">is to </w:t>
      </w:r>
      <w:r>
        <w:t xml:space="preserve">increase the quality of </w:t>
      </w:r>
      <w:r w:rsidRPr="0023349D">
        <w:rPr>
          <w:i/>
        </w:rPr>
        <w:t>prospective and new teachers</w:t>
      </w:r>
      <w:r>
        <w:t xml:space="preserve"> and recruit highly qualified individuals, </w:t>
      </w:r>
      <w:r w:rsidRPr="004803BD">
        <w:t xml:space="preserve">including minorities and individuals from </w:t>
      </w:r>
      <w:r w:rsidRPr="0023349D">
        <w:rPr>
          <w:i/>
        </w:rPr>
        <w:t>other occupations</w:t>
      </w:r>
      <w:r w:rsidRPr="004803BD">
        <w:t>, into the teaching force</w:t>
      </w:r>
      <w:r>
        <w:t>. See HEA section 201.</w:t>
      </w:r>
    </w:p>
    <w:p w:rsidR="002D2274" w:rsidRPr="00C26F3C" w:rsidRDefault="002D2274" w:rsidP="002D2274">
      <w:pPr>
        <w:pStyle w:val="Heading2"/>
      </w:pPr>
      <w:r w:rsidRPr="00C26F3C">
        <w:t xml:space="preserve">How does an applicant, in addressing CPP 1, demonstrate that its proposed strategy </w:t>
      </w:r>
      <w:r>
        <w:t xml:space="preserve">to </w:t>
      </w:r>
      <w:r w:rsidRPr="007913F9">
        <w:t>improve student achievement or other educational outcomes in computer sci</w:t>
      </w:r>
      <w:r>
        <w:t>ence is</w:t>
      </w:r>
      <w:r w:rsidRPr="007913F9">
        <w:t xml:space="preserve"> evidence-based</w:t>
      </w:r>
      <w:r>
        <w:t>?</w:t>
      </w:r>
      <w:bookmarkEnd w:id="14"/>
    </w:p>
    <w:p w:rsidR="002D2274" w:rsidRPr="00C26F3C" w:rsidRDefault="002D2274" w:rsidP="002D2274">
      <w:r w:rsidRPr="00C26F3C">
        <w:t>Applicants must demonstrate, in order to meet CPP 1,</w:t>
      </w:r>
      <w:r w:rsidR="00D042F0">
        <w:t xml:space="preserve"> that their proposed </w:t>
      </w:r>
      <w:r w:rsidRPr="00C26F3C">
        <w:t>professional development or retraining strategies are “Evidence-Based,”</w:t>
      </w:r>
      <w:r>
        <w:t xml:space="preserve"> </w:t>
      </w:r>
      <w:r w:rsidRPr="00C26F3C">
        <w:t>as defined in 34 CFR §77.1</w:t>
      </w:r>
      <w:r w:rsidR="002B311A">
        <w:t xml:space="preserve">. </w:t>
      </w:r>
      <w:r w:rsidRPr="00C26F3C">
        <w:t>Applicants may do so by:</w:t>
      </w:r>
    </w:p>
    <w:p w:rsidR="000B1436" w:rsidRDefault="000B1436" w:rsidP="000B1436">
      <w:pPr>
        <w:pStyle w:val="ListParagraph"/>
        <w:numPr>
          <w:ilvl w:val="0"/>
          <w:numId w:val="33"/>
        </w:numPr>
      </w:pPr>
      <w:r w:rsidRPr="00C26F3C">
        <w:t>Submitting a “Logic Model” (as defined in 34 CFR §77.1</w:t>
      </w:r>
      <w:r w:rsidR="002B311A">
        <w:t>)</w:t>
      </w:r>
      <w:r w:rsidRPr="00C26F3C">
        <w:t xml:space="preserve"> that (1) identifies the STEM professional development or retraining strategy of the project</w:t>
      </w:r>
      <w:r>
        <w:t>;</w:t>
      </w:r>
      <w:r w:rsidRPr="00C26F3C">
        <w:t xml:space="preserve"> and (2) is informed by research or evaluation findings that suggest the project component is likely to improve “Relevant Outcomes” as defined in 34 CFR §77.1.</w:t>
      </w:r>
    </w:p>
    <w:p w:rsidR="002D2274" w:rsidRPr="00C26F3C" w:rsidRDefault="002D2274" w:rsidP="002D2274">
      <w:pPr>
        <w:pStyle w:val="ListParagraph"/>
        <w:numPr>
          <w:ilvl w:val="0"/>
          <w:numId w:val="33"/>
        </w:numPr>
      </w:pPr>
      <w:r w:rsidRPr="00C26F3C">
        <w:t xml:space="preserve">Submitting a citation of a study that is (1) </w:t>
      </w:r>
      <w:r>
        <w:t>f</w:t>
      </w:r>
      <w:r w:rsidRPr="00C26F3C">
        <w:t>ocused on STEM-focused professional development or retraining strategies</w:t>
      </w:r>
      <w:r>
        <w:t>,</w:t>
      </w:r>
      <w:r w:rsidRPr="00C26F3C">
        <w:t xml:space="preserve"> (2) relevant to the proposed project, and </w:t>
      </w:r>
      <w:r>
        <w:t xml:space="preserve">(3) </w:t>
      </w:r>
      <w:r w:rsidRPr="00C26F3C">
        <w:t>meets at least the design standards set forth in the “Promising Evidence” definition in 34 CFR §77.1.</w:t>
      </w:r>
    </w:p>
    <w:p w:rsidR="002D2274" w:rsidRPr="00C26F3C" w:rsidRDefault="002D2274" w:rsidP="002D2274">
      <w:r w:rsidRPr="00C26F3C">
        <w:t xml:space="preserve">Applicants are encouraged to visit the Institute of Education Sciences (IES) What Works Clearinghouse (WWC), which compiles evidence on </w:t>
      </w:r>
      <w:r w:rsidR="0089291C">
        <w:t xml:space="preserve">effective </w:t>
      </w:r>
      <w:r w:rsidRPr="00C26F3C">
        <w:t>education programs, products, practices, and policies. The website is located here:</w:t>
      </w:r>
      <w:r>
        <w:t xml:space="preserve"> </w:t>
      </w:r>
      <w:hyperlink r:id="rId12" w:history="1">
        <w:r w:rsidRPr="00235533">
          <w:rPr>
            <w:rStyle w:val="Hyperlink"/>
            <w:rFonts w:ascii="Calibri" w:eastAsia="Calibri" w:hAnsi="Calibri" w:cs="Times New Roman"/>
          </w:rPr>
          <w:t>https://ies.ed.gov/ncee/wwc/FWW</w:t>
        </w:r>
      </w:hyperlink>
      <w:r w:rsidRPr="00C26F3C">
        <w:t xml:space="preserve">. </w:t>
      </w:r>
    </w:p>
    <w:p w:rsidR="002D2274" w:rsidRPr="00C26F3C" w:rsidRDefault="002D2274" w:rsidP="002D2274">
      <w:pPr>
        <w:pStyle w:val="Heading2"/>
      </w:pPr>
      <w:bookmarkStart w:id="15" w:name="_Toc513617682"/>
      <w:r w:rsidRPr="00C26F3C">
        <w:t xml:space="preserve">What is the </w:t>
      </w:r>
      <w:r w:rsidR="001B01FF">
        <w:t>CPP</w:t>
      </w:r>
      <w:r w:rsidRPr="00C26F3C">
        <w:t xml:space="preserve"> for Novice Applicants (CPP </w:t>
      </w:r>
      <w:r>
        <w:t>2</w:t>
      </w:r>
      <w:r w:rsidRPr="00C26F3C">
        <w:t>)?</w:t>
      </w:r>
      <w:bookmarkEnd w:id="15"/>
    </w:p>
    <w:p w:rsidR="002D2274" w:rsidRDefault="002D2274" w:rsidP="002D2274">
      <w:r>
        <w:t xml:space="preserve">Under this </w:t>
      </w:r>
      <w:r w:rsidR="001B01FF">
        <w:t>CPP</w:t>
      </w:r>
      <w:r>
        <w:t>, the Department</w:t>
      </w:r>
      <w:r w:rsidR="00892293">
        <w:t xml:space="preserve"> awards</w:t>
      </w:r>
      <w:r>
        <w:t xml:space="preserve"> five additional points for applicants </w:t>
      </w:r>
      <w:r w:rsidR="00892293">
        <w:t xml:space="preserve">that </w:t>
      </w:r>
      <w:r w:rsidR="00DE041B">
        <w:t>meet the definition of “novice applicant</w:t>
      </w:r>
      <w:r>
        <w:t xml:space="preserve">” </w:t>
      </w:r>
      <w:r w:rsidR="000B3360">
        <w:t>as defined in</w:t>
      </w:r>
      <w:r>
        <w:t xml:space="preserve"> 34 CFR §75.225 (and in the </w:t>
      </w:r>
      <w:r w:rsidR="001B01FF">
        <w:t>notice inviting applications (</w:t>
      </w:r>
      <w:r>
        <w:t>NIA</w:t>
      </w:r>
      <w:r w:rsidR="001B01FF">
        <w:t>)</w:t>
      </w:r>
      <w:r>
        <w:t>). That provision requires that a novice applicant—</w:t>
      </w:r>
    </w:p>
    <w:p w:rsidR="002D2274" w:rsidRDefault="002D2274" w:rsidP="002D2274">
      <w:pPr>
        <w:pStyle w:val="ListParagraph"/>
        <w:numPr>
          <w:ilvl w:val="0"/>
          <w:numId w:val="32"/>
        </w:numPr>
      </w:pPr>
      <w:r>
        <w:t>Has never received a grant or subgrant under the TQP program;</w:t>
      </w:r>
    </w:p>
    <w:p w:rsidR="002D2274" w:rsidRDefault="002D2274" w:rsidP="002D2274">
      <w:pPr>
        <w:pStyle w:val="ListParagraph"/>
        <w:numPr>
          <w:ilvl w:val="0"/>
          <w:numId w:val="32"/>
        </w:numPr>
      </w:pPr>
      <w:r>
        <w:t>Has never been a member of a group application (i.e. in a TQP eligible partnership), submitted in accordance with 34 CFR §§75.127-75.129, that received a grant under the TQP program; and</w:t>
      </w:r>
    </w:p>
    <w:p w:rsidR="002D2274" w:rsidRDefault="002D2274" w:rsidP="002D2274">
      <w:pPr>
        <w:pStyle w:val="ListParagraph"/>
        <w:numPr>
          <w:ilvl w:val="0"/>
          <w:numId w:val="32"/>
        </w:numPr>
      </w:pPr>
      <w:r>
        <w:t xml:space="preserve">Has not had an active discretionary grant from the Federal Government in the five years before the deadline date for applications under the program. </w:t>
      </w:r>
    </w:p>
    <w:p w:rsidR="002D2274" w:rsidRPr="00415C0D" w:rsidRDefault="002D2274" w:rsidP="002D2274">
      <w:r>
        <w:t xml:space="preserve">A grant is considered </w:t>
      </w:r>
      <w:r w:rsidRPr="00B918CA">
        <w:t>active until the end of the grant's project or funding period, including any extensions of those periods that extend the grantee's authority to obligate funds</w:t>
      </w:r>
      <w:r>
        <w:t xml:space="preserve">. Applicants writing to </w:t>
      </w:r>
      <w:r w:rsidR="00DE041B">
        <w:t>CPP</w:t>
      </w:r>
      <w:r>
        <w:t>2 must clearly describe in their application narrative</w:t>
      </w:r>
      <w:r w:rsidR="00892293">
        <w:t>s</w:t>
      </w:r>
      <w:r>
        <w:t xml:space="preserve"> why they believe they meet the definition of a novice applicant.</w:t>
      </w:r>
      <w:r w:rsidR="00D042F0">
        <w:t xml:space="preserve"> </w:t>
      </w:r>
      <w:r w:rsidR="00DE041B">
        <w:t xml:space="preserve"> T</w:t>
      </w:r>
      <w:r w:rsidR="00A474F3">
        <w:t xml:space="preserve">he </w:t>
      </w:r>
      <w:r w:rsidR="00DE041B">
        <w:t xml:space="preserve">novice applicant </w:t>
      </w:r>
      <w:r>
        <w:t xml:space="preserve">definition </w:t>
      </w:r>
      <w:r w:rsidR="00960691">
        <w:t>must be met by all</w:t>
      </w:r>
      <w:r w:rsidR="00DE041B">
        <w:t xml:space="preserve"> members of the TQP </w:t>
      </w:r>
      <w:r>
        <w:t>eligible partners</w:t>
      </w:r>
      <w:r w:rsidR="00DE041B">
        <w:t>hip at the time of application submission.</w:t>
      </w:r>
    </w:p>
    <w:p w:rsidR="002D2274" w:rsidRDefault="002D2274" w:rsidP="002D2274">
      <w:pPr>
        <w:pStyle w:val="Heading1"/>
        <w:rPr>
          <w:rFonts w:cs="Arial"/>
          <w:bCs/>
        </w:rPr>
      </w:pPr>
      <w:bookmarkStart w:id="16" w:name="_Toc513617683"/>
      <w:r w:rsidRPr="00D86192">
        <w:t xml:space="preserve">Programmatic </w:t>
      </w:r>
      <w:r>
        <w:t xml:space="preserve">and General Application </w:t>
      </w:r>
      <w:r w:rsidRPr="00D86192">
        <w:t>Questions</w:t>
      </w:r>
      <w:bookmarkStart w:id="17" w:name="question9"/>
      <w:bookmarkStart w:id="18" w:name="question10"/>
      <w:bookmarkEnd w:id="16"/>
      <w:bookmarkEnd w:id="17"/>
      <w:bookmarkEnd w:id="18"/>
    </w:p>
    <w:p w:rsidR="002D2274" w:rsidRPr="002D2274" w:rsidRDefault="002D2274" w:rsidP="002D2274">
      <w:pPr>
        <w:pStyle w:val="Heading2"/>
      </w:pPr>
      <w:bookmarkStart w:id="19" w:name="question11"/>
      <w:bookmarkStart w:id="20" w:name="_Toc513617684"/>
      <w:bookmarkEnd w:id="19"/>
      <w:r w:rsidRPr="002D2274">
        <w:t xml:space="preserve">Must </w:t>
      </w:r>
      <w:r w:rsidR="00016F84">
        <w:t xml:space="preserve">an </w:t>
      </w:r>
      <w:r w:rsidRPr="002D2274">
        <w:t>application include a needs assessment?</w:t>
      </w:r>
    </w:p>
    <w:p w:rsidR="002D2274" w:rsidRPr="002A71D9" w:rsidRDefault="002D2274" w:rsidP="002D2274">
      <w:r>
        <w:t>Yes. The application must include a nee</w:t>
      </w:r>
      <w:r w:rsidRPr="0083013C">
        <w:t xml:space="preserve">ds assessment of </w:t>
      </w:r>
      <w:r>
        <w:t xml:space="preserve">all </w:t>
      </w:r>
      <w:r w:rsidRPr="0083013C">
        <w:t>the partners in the eligible partnership with respect to the preparation, ongoing training, professional development, and retention of general education and special education teachers, principals, and, as applicable, early childhood educators</w:t>
      </w:r>
      <w:r w:rsidR="002D0607">
        <w:t>.</w:t>
      </w:r>
      <w:r>
        <w:t xml:space="preserve"> Applicants are strongly encouraged to explicitly identify their needs a</w:t>
      </w:r>
      <w:r w:rsidR="0018382D">
        <w:t xml:space="preserve">ssessment in </w:t>
      </w:r>
      <w:r w:rsidR="002D0607">
        <w:t>Appendix C</w:t>
      </w:r>
      <w:r w:rsidR="000B3360">
        <w:t xml:space="preserve"> of the program narrative</w:t>
      </w:r>
      <w:r w:rsidR="002D0607">
        <w:t>. See HEA section 202(b)(1).</w:t>
      </w:r>
    </w:p>
    <w:p w:rsidR="002D2274" w:rsidRPr="00FF5B0B" w:rsidRDefault="002D2274" w:rsidP="002D2274">
      <w:pPr>
        <w:pStyle w:val="Heading2"/>
      </w:pPr>
      <w:r w:rsidRPr="00FF5B0B">
        <w:t xml:space="preserve">May individuals who are </w:t>
      </w:r>
      <w:r>
        <w:t xml:space="preserve">already </w:t>
      </w:r>
      <w:r w:rsidRPr="00FF5B0B">
        <w:t xml:space="preserve">certified to teach in one area participate in the teaching residency program as a way of becoming certified in another </w:t>
      </w:r>
      <w:proofErr w:type="gramStart"/>
      <w:r w:rsidRPr="00FF5B0B">
        <w:t>area?</w:t>
      </w:r>
      <w:bookmarkEnd w:id="20"/>
      <w:proofErr w:type="gramEnd"/>
    </w:p>
    <w:p w:rsidR="00E949AE" w:rsidRPr="00C57FC8" w:rsidRDefault="002D2274" w:rsidP="002D2274">
      <w:r w:rsidRPr="00C57FC8">
        <w:t>No.</w:t>
      </w:r>
      <w:r>
        <w:t xml:space="preserve"> </w:t>
      </w:r>
      <w:r w:rsidRPr="00C57FC8">
        <w:t xml:space="preserve">The definition of a “teaching residency program” in </w:t>
      </w:r>
      <w:r>
        <w:t>HEA section</w:t>
      </w:r>
      <w:r w:rsidRPr="00C57FC8">
        <w:t xml:space="preserve"> 200(22) provides that the program </w:t>
      </w:r>
      <w:r>
        <w:t>is</w:t>
      </w:r>
      <w:r w:rsidRPr="00C57FC8">
        <w:t xml:space="preserve"> for “prospective teachers</w:t>
      </w:r>
      <w:r>
        <w:t>.</w:t>
      </w:r>
      <w:r w:rsidRPr="00C57FC8">
        <w:t>”</w:t>
      </w:r>
      <w:r>
        <w:t xml:space="preserve"> </w:t>
      </w:r>
      <w:r w:rsidR="006A46CD">
        <w:t>Moreover, t</w:t>
      </w:r>
      <w:r w:rsidRPr="00C57FC8">
        <w:t xml:space="preserve">he </w:t>
      </w:r>
      <w:r w:rsidR="004803BD">
        <w:t xml:space="preserve">purpose of the TQP program </w:t>
      </w:r>
      <w:r w:rsidRPr="00C57FC8">
        <w:t xml:space="preserve">is to </w:t>
      </w:r>
      <w:bookmarkStart w:id="21" w:name="question12"/>
      <w:bookmarkStart w:id="22" w:name="question13"/>
      <w:bookmarkEnd w:id="21"/>
      <w:bookmarkEnd w:id="22"/>
      <w:r w:rsidR="004803BD">
        <w:t>increase the quality of prospective and new teachers and recruit highly qualified individuals</w:t>
      </w:r>
      <w:r w:rsidR="006A46CD">
        <w:t xml:space="preserve">, </w:t>
      </w:r>
      <w:r w:rsidR="004803BD" w:rsidRPr="004803BD">
        <w:t>including minorities and individuals from other occupations, into the teaching force</w:t>
      </w:r>
      <w:r w:rsidR="004803BD">
        <w:t xml:space="preserve">. See HEA section 201. </w:t>
      </w:r>
    </w:p>
    <w:p w:rsidR="002D2274" w:rsidRPr="002D2274" w:rsidRDefault="002D2274" w:rsidP="002D2274">
      <w:pPr>
        <w:pStyle w:val="Heading2"/>
      </w:pPr>
      <w:bookmarkStart w:id="23" w:name="_Toc513617685"/>
      <w:r w:rsidRPr="002D2274">
        <w:t>What is a teaching resident’s service obligation, and who is responsible for tracking whether, upon completion of their teaching residencies, residents have met it?</w:t>
      </w:r>
      <w:bookmarkEnd w:id="23"/>
    </w:p>
    <w:p w:rsidR="002D2274" w:rsidRDefault="002D2274" w:rsidP="002D2274">
      <w:r>
        <w:t>In order to receive the one-year living stipend or salary that eligible partnerships must make available to them,</w:t>
      </w:r>
      <w:r w:rsidRPr="00C57FC8">
        <w:t xml:space="preserve"> </w:t>
      </w:r>
      <w:r>
        <w:t>r</w:t>
      </w:r>
      <w:r w:rsidRPr="00C57FC8">
        <w:t xml:space="preserve">esidents </w:t>
      </w:r>
      <w:r>
        <w:t>must submit an application that includes an agreement to work, immediately upon successful completion of the residency, as a full-time teacher for not less than three years in a high-need school in a high-need LEA</w:t>
      </w:r>
      <w:r w:rsidR="00AD2AC1">
        <w:t xml:space="preserve"> in the eligible partnership</w:t>
      </w:r>
      <w:r>
        <w:t>. The agreement also must specify that a resident who does not fulfill this service obligation must repay these funds to the eligible partnership</w:t>
      </w:r>
      <w:r w:rsidRPr="00C57FC8">
        <w:t>.</w:t>
      </w:r>
      <w:r>
        <w:t xml:space="preserve"> See HEA sec</w:t>
      </w:r>
      <w:r w:rsidR="00AD2AC1">
        <w:t>tion 202(e)(2)(C)(iii) and (iv) for more information.</w:t>
      </w:r>
    </w:p>
    <w:p w:rsidR="002D2274" w:rsidRDefault="002D2274" w:rsidP="002D2274">
      <w:r>
        <w:t>E</w:t>
      </w:r>
      <w:r w:rsidRPr="00C57FC8">
        <w:t>ligible partnership</w:t>
      </w:r>
      <w:r>
        <w:t>s</w:t>
      </w:r>
      <w:r w:rsidRPr="00C57FC8">
        <w:t xml:space="preserve"> </w:t>
      </w:r>
      <w:r>
        <w:t>are</w:t>
      </w:r>
      <w:r w:rsidRPr="00C57FC8">
        <w:t xml:space="preserve"> responsible for tracking residents’ employment after completing the teaching residency program based on the terms of the repayment agreement</w:t>
      </w:r>
      <w:r>
        <w:t>, and for requiring residents who do not fulfill their service obligation to repay the living stipend or salary that they received</w:t>
      </w:r>
      <w:r w:rsidRPr="00C57FC8">
        <w:t>.</w:t>
      </w:r>
      <w:r>
        <w:t xml:space="preserve"> </w:t>
      </w:r>
      <w:r w:rsidR="00130781">
        <w:t>Eligible partnerships</w:t>
      </w:r>
      <w:r>
        <w:t xml:space="preserve"> must </w:t>
      </w:r>
      <w:r w:rsidR="00130781">
        <w:t xml:space="preserve">then </w:t>
      </w:r>
      <w:r>
        <w:t>use recovered funds for additional activities consistent with the purposes of the</w:t>
      </w:r>
      <w:r w:rsidR="00130781">
        <w:t xml:space="preserve"> TQP program</w:t>
      </w:r>
      <w:r>
        <w:t>.</w:t>
      </w:r>
      <w:r w:rsidRPr="00C57FC8">
        <w:t xml:space="preserve"> </w:t>
      </w:r>
      <w:bookmarkStart w:id="24" w:name="question14"/>
      <w:bookmarkStart w:id="25" w:name="question15"/>
      <w:bookmarkStart w:id="26" w:name="question16"/>
      <w:bookmarkEnd w:id="24"/>
      <w:bookmarkEnd w:id="25"/>
      <w:bookmarkEnd w:id="26"/>
      <w:r w:rsidR="00207E57">
        <w:t xml:space="preserve">All grantees will be expected to submit an annual performance report to the Department documenting their success in addressing the TQP performance measures, including </w:t>
      </w:r>
      <w:r w:rsidR="00B76858">
        <w:t>three-year employment retention</w:t>
      </w:r>
      <w:r w:rsidR="00D42544">
        <w:t xml:space="preserve">. This is a measure of the percentage of program completers who were employed by the high-need LEA or </w:t>
      </w:r>
      <w:r w:rsidR="000039D0">
        <w:t>early childhood education</w:t>
      </w:r>
      <w:r w:rsidR="00D42544">
        <w:t xml:space="preserve"> program for three consecutive years after initial employment.</w:t>
      </w:r>
      <w:r w:rsidR="001A50DA">
        <w:t xml:space="preserve"> </w:t>
      </w:r>
      <w:r w:rsidR="00514D1C">
        <w:t xml:space="preserve"> </w:t>
      </w:r>
    </w:p>
    <w:p w:rsidR="002D2274" w:rsidRDefault="002D2274" w:rsidP="002D2274">
      <w:r w:rsidRPr="00242ADE">
        <w:t xml:space="preserve">If </w:t>
      </w:r>
      <w:r w:rsidR="004F0C9E">
        <w:t>a grantee</w:t>
      </w:r>
      <w:r w:rsidRPr="00242ADE">
        <w:t xml:space="preserve"> is unable to </w:t>
      </w:r>
      <w:r>
        <w:t>“</w:t>
      </w:r>
      <w:r w:rsidRPr="00224A59">
        <w:t>carry out additional activities that are consistent with the purposes</w:t>
      </w:r>
      <w:r>
        <w:t xml:space="preserve">” of their </w:t>
      </w:r>
      <w:r w:rsidRPr="00242ADE">
        <w:t>TQP program</w:t>
      </w:r>
      <w:r>
        <w:t xml:space="preserve">, </w:t>
      </w:r>
      <w:r w:rsidRPr="00242ADE">
        <w:t xml:space="preserve">then, consistent with how </w:t>
      </w:r>
      <w:r>
        <w:t xml:space="preserve">the Department handles </w:t>
      </w:r>
      <w:r w:rsidR="00390B6F">
        <w:t>unspent</w:t>
      </w:r>
      <w:r>
        <w:t xml:space="preserve"> funds, the funds m</w:t>
      </w:r>
      <w:r w:rsidR="00E010CC">
        <w:t>ust b</w:t>
      </w:r>
      <w:r w:rsidR="00C12FCC">
        <w:t xml:space="preserve">e returned </w:t>
      </w:r>
      <w:r w:rsidR="00E010CC">
        <w:t>to the Federal Government.</w:t>
      </w:r>
    </w:p>
    <w:p w:rsidR="005511C1" w:rsidRDefault="005511C1" w:rsidP="005511C1">
      <w:pPr>
        <w:pStyle w:val="Heading2"/>
      </w:pPr>
      <w:r>
        <w:t>What is meant by a deferral of the teaching resident’s service obligation on the grounds of “</w:t>
      </w:r>
      <w:r w:rsidRPr="005511C1">
        <w:t>inability to secure employment in a school served by the eligible partnership</w:t>
      </w:r>
      <w:r>
        <w:t>”?</w:t>
      </w:r>
    </w:p>
    <w:p w:rsidR="005511C1" w:rsidRPr="005511C1" w:rsidRDefault="000538CD" w:rsidP="005511C1">
      <w:r>
        <w:t>A deferral of the teaching resident’s service obligation on the grounds of</w:t>
      </w:r>
      <w:r w:rsidR="005700DA">
        <w:t xml:space="preserve"> an</w:t>
      </w:r>
      <w:r>
        <w:t xml:space="preserve"> “</w:t>
      </w:r>
      <w:r w:rsidRPr="005511C1">
        <w:t>inability to secure employment in a school served by the eligible partnership</w:t>
      </w:r>
      <w:r w:rsidR="005700DA">
        <w:t xml:space="preserve">” </w:t>
      </w:r>
      <w:r w:rsidR="00AD2AC1">
        <w:t xml:space="preserve">(HEA section 202(e)(2)(C)(iv)(II)) </w:t>
      </w:r>
      <w:r w:rsidR="005700DA">
        <w:t>may result when the schools served by the eligible partnership are not currently hiring for the teaching resident’</w:t>
      </w:r>
      <w:r w:rsidR="00AD2AC1">
        <w:t>s subject area,</w:t>
      </w:r>
      <w:r w:rsidR="005700DA">
        <w:t xml:space="preserve"> </w:t>
      </w:r>
      <w:r w:rsidR="005700DA" w:rsidRPr="005700DA">
        <w:t>licensure</w:t>
      </w:r>
      <w:r w:rsidR="00AD2AC1">
        <w:t>, or experience</w:t>
      </w:r>
      <w:r w:rsidR="00A712DD">
        <w:t>.</w:t>
      </w:r>
    </w:p>
    <w:p w:rsidR="002D2274" w:rsidRPr="002D2274" w:rsidRDefault="002D2274" w:rsidP="002D2274">
      <w:pPr>
        <w:pStyle w:val="Heading2"/>
      </w:pPr>
      <w:bookmarkStart w:id="27" w:name="_Toc513617686"/>
      <w:r w:rsidRPr="002D2274">
        <w:t>In teaching residency projects, may payment of the participants’ “one-year living stipend or salary” be made with either TQP grant funds or with non-Federal match funds</w:t>
      </w:r>
      <w:bookmarkEnd w:id="27"/>
      <w:r w:rsidRPr="002D2274">
        <w:t>?</w:t>
      </w:r>
    </w:p>
    <w:p w:rsidR="002D2274" w:rsidRDefault="002D2274" w:rsidP="002D2274">
      <w:r w:rsidRPr="00C57FC8">
        <w:t>Yes.</w:t>
      </w:r>
      <w:r>
        <w:t xml:space="preserve"> </w:t>
      </w:r>
      <w:r w:rsidRPr="00C57FC8">
        <w:t>The living stipend</w:t>
      </w:r>
      <w:r w:rsidR="00E010CC">
        <w:t xml:space="preserve"> or salary</w:t>
      </w:r>
      <w:r w:rsidRPr="00C57FC8">
        <w:t xml:space="preserve"> may be paid with TQP funds</w:t>
      </w:r>
      <w:r>
        <w:t>, non-F</w:t>
      </w:r>
      <w:r w:rsidRPr="00C57FC8">
        <w:t xml:space="preserve">ederal </w:t>
      </w:r>
      <w:r>
        <w:t xml:space="preserve">match </w:t>
      </w:r>
      <w:r w:rsidRPr="00C57FC8">
        <w:t>funds, or a combination of the two.</w:t>
      </w:r>
    </w:p>
    <w:p w:rsidR="002D2274" w:rsidRDefault="002D2274" w:rsidP="002D2274">
      <w:r w:rsidRPr="00903E92">
        <w:t xml:space="preserve">The </w:t>
      </w:r>
      <w:r>
        <w:t>TQP statute</w:t>
      </w:r>
      <w:r w:rsidRPr="00903E92">
        <w:t xml:space="preserve"> does not define the term “living stipend or salary.”</w:t>
      </w:r>
      <w:r>
        <w:t xml:space="preserve"> </w:t>
      </w:r>
      <w:r w:rsidRPr="00903E92">
        <w:t xml:space="preserve">Therefore, the applicant should describe in the budget and budget narrative (and elsewhere in the application, as relevant) </w:t>
      </w:r>
      <w:r>
        <w:t xml:space="preserve">a reasonable and necessary </w:t>
      </w:r>
      <w:r w:rsidRPr="00903E92">
        <w:t xml:space="preserve">amount that it proposes to provide as a living stipend </w:t>
      </w:r>
      <w:r w:rsidR="00E010CC">
        <w:t xml:space="preserve">or salary to </w:t>
      </w:r>
      <w:r w:rsidRPr="00903E92">
        <w:t>its teaching residents.</w:t>
      </w:r>
      <w:r>
        <w:t xml:space="preserve"> </w:t>
      </w:r>
      <w:r w:rsidRPr="00903E92">
        <w:t>This living stipend may be granted for a maximum of one year</w:t>
      </w:r>
      <w:r w:rsidR="00AF4E0C">
        <w:t>, as specified by HEA section 202(e)(2)(C)(</w:t>
      </w:r>
      <w:proofErr w:type="spellStart"/>
      <w:r w:rsidR="00AF4E0C">
        <w:t>i</w:t>
      </w:r>
      <w:proofErr w:type="spellEnd"/>
      <w:r w:rsidR="00AF4E0C">
        <w:t>).</w:t>
      </w:r>
    </w:p>
    <w:p w:rsidR="002D2274" w:rsidRPr="00242ADE" w:rsidRDefault="002D2274" w:rsidP="002D2274">
      <w:pPr>
        <w:pStyle w:val="Heading2"/>
      </w:pPr>
      <w:r w:rsidRPr="00AC144F">
        <w:t xml:space="preserve">How are </w:t>
      </w:r>
      <w:r>
        <w:t>l</w:t>
      </w:r>
      <w:r w:rsidRPr="00AC144F">
        <w:t xml:space="preserve">iving </w:t>
      </w:r>
      <w:r>
        <w:t>s</w:t>
      </w:r>
      <w:r w:rsidRPr="00AC144F">
        <w:t>tipends</w:t>
      </w:r>
      <w:r w:rsidR="00A9132C">
        <w:t xml:space="preserve"> or salaries</w:t>
      </w:r>
      <w:r w:rsidRPr="00AC144F">
        <w:t xml:space="preserve"> categori</w:t>
      </w:r>
      <w:r w:rsidRPr="00242ADE">
        <w:t xml:space="preserve">zed for accounting purposes with the partner IHE and </w:t>
      </w:r>
      <w:r w:rsidR="00A9132C">
        <w:t>teacher residents</w:t>
      </w:r>
      <w:r w:rsidRPr="007913F9">
        <w:t>?</w:t>
      </w:r>
    </w:p>
    <w:p w:rsidR="002D2274" w:rsidRDefault="002D2274" w:rsidP="002D2274">
      <w:r w:rsidRPr="00344ABF">
        <w:t>Applicants should follow the</w:t>
      </w:r>
      <w:r>
        <w:t xml:space="preserve"> partner institution</w:t>
      </w:r>
      <w:r w:rsidRPr="00242ADE">
        <w:t xml:space="preserve"> policy regarding the</w:t>
      </w:r>
      <w:r>
        <w:t xml:space="preserve"> appropriate</w:t>
      </w:r>
      <w:r w:rsidRPr="00242ADE">
        <w:t xml:space="preserve"> tax characterization of the required living stipend</w:t>
      </w:r>
      <w:r>
        <w:t xml:space="preserve"> or salary for </w:t>
      </w:r>
      <w:r w:rsidR="00A9132C">
        <w:t>teacher residents</w:t>
      </w:r>
      <w:r>
        <w:t>.</w:t>
      </w:r>
    </w:p>
    <w:p w:rsidR="00753192" w:rsidRPr="002D2274" w:rsidRDefault="00753192" w:rsidP="00753192">
      <w:pPr>
        <w:pStyle w:val="Heading2"/>
      </w:pPr>
      <w:bookmarkStart w:id="28" w:name="_Toc513365552"/>
      <w:bookmarkStart w:id="29" w:name="_Toc513617676"/>
      <w:r w:rsidRPr="002D2274">
        <w:t xml:space="preserve">May grantees use TQP funds to pay student stipends or tuition reduction to project participants? May TQP funds pay the costs of </w:t>
      </w:r>
      <w:r w:rsidR="00892293">
        <w:t>participants’</w:t>
      </w:r>
      <w:r w:rsidR="00892293" w:rsidRPr="002D2274">
        <w:t xml:space="preserve"> </w:t>
      </w:r>
      <w:r w:rsidRPr="002D2274">
        <w:t>certification or State testing?</w:t>
      </w:r>
      <w:bookmarkEnd w:id="28"/>
      <w:bookmarkEnd w:id="29"/>
    </w:p>
    <w:p w:rsidR="00753192" w:rsidRDefault="00753192" w:rsidP="00753192">
      <w:r w:rsidRPr="00C57FC8">
        <w:t>No.</w:t>
      </w:r>
      <w:r>
        <w:t xml:space="preserve"> The HEA does not authorize the use of </w:t>
      </w:r>
      <w:r w:rsidRPr="00C57FC8">
        <w:t>TQP funds for tuition</w:t>
      </w:r>
      <w:r>
        <w:t xml:space="preserve"> reduction</w:t>
      </w:r>
      <w:r w:rsidRPr="00C57FC8">
        <w:t xml:space="preserve"> or other student support costs such as fees for certif</w:t>
      </w:r>
      <w:r>
        <w:t>ication or S</w:t>
      </w:r>
      <w:r w:rsidRPr="00C57FC8">
        <w:t>tate testing.</w:t>
      </w:r>
      <w:r>
        <w:t xml:space="preserve"> </w:t>
      </w:r>
    </w:p>
    <w:p w:rsidR="00753192" w:rsidRPr="00242ADE" w:rsidRDefault="00892293" w:rsidP="002D2274">
      <w:r>
        <w:t>However, a</w:t>
      </w:r>
      <w:r w:rsidR="00753192">
        <w:t xml:space="preserve">pplicants must provide a one-year living stipend </w:t>
      </w:r>
      <w:r w:rsidR="00E43887">
        <w:t xml:space="preserve">or salary </w:t>
      </w:r>
      <w:r w:rsidR="00753192">
        <w:t>consistent with HEA section 202(e)(2)(C)(</w:t>
      </w:r>
      <w:proofErr w:type="spellStart"/>
      <w:r w:rsidR="00753192">
        <w:t>i</w:t>
      </w:r>
      <w:proofErr w:type="spellEnd"/>
      <w:r w:rsidR="00753192">
        <w:t>)</w:t>
      </w:r>
      <w:r>
        <w:t xml:space="preserve"> and a </w:t>
      </w:r>
      <w:r w:rsidR="00753192">
        <w:t xml:space="preserve">participant </w:t>
      </w:r>
      <w:r>
        <w:t xml:space="preserve">may </w:t>
      </w:r>
      <w:r w:rsidR="00753192">
        <w:t>cho</w:t>
      </w:r>
      <w:r>
        <w:t>o</w:t>
      </w:r>
      <w:r w:rsidR="00753192">
        <w:t xml:space="preserve">se to use the living stipend </w:t>
      </w:r>
      <w:r>
        <w:t xml:space="preserve">for </w:t>
      </w:r>
      <w:r w:rsidR="00753192">
        <w:t>their tuition.</w:t>
      </w:r>
      <w:bookmarkStart w:id="30" w:name="question7"/>
      <w:bookmarkStart w:id="31" w:name="question8"/>
      <w:bookmarkEnd w:id="30"/>
      <w:bookmarkEnd w:id="31"/>
    </w:p>
    <w:p w:rsidR="002D2274" w:rsidRPr="002D2274" w:rsidRDefault="002D2274" w:rsidP="002D2274">
      <w:pPr>
        <w:pStyle w:val="Heading2"/>
      </w:pPr>
      <w:bookmarkStart w:id="32" w:name="_Toc513617687"/>
      <w:r w:rsidRPr="002D2274">
        <w:t>May an applicant seek TQP funding to prepare multiple cohorts of teachers in a teaching residency program?</w:t>
      </w:r>
      <w:bookmarkEnd w:id="32"/>
    </w:p>
    <w:p w:rsidR="002D2274" w:rsidRPr="002D2274" w:rsidRDefault="002D2274" w:rsidP="002D2274">
      <w:r w:rsidRPr="00C57FC8">
        <w:t>Yes.</w:t>
      </w:r>
      <w:r>
        <w:t xml:space="preserve"> However, i</w:t>
      </w:r>
      <w:r w:rsidRPr="00C57FC8">
        <w:t xml:space="preserve">f an applicant proposes to recruit and prepare </w:t>
      </w:r>
      <w:r w:rsidR="0014185C">
        <w:t xml:space="preserve">teacher residency </w:t>
      </w:r>
      <w:r w:rsidRPr="00C57FC8">
        <w:t xml:space="preserve">candidates during </w:t>
      </w:r>
      <w:r>
        <w:t xml:space="preserve">Project </w:t>
      </w:r>
      <w:r w:rsidRPr="00C57FC8">
        <w:t xml:space="preserve">Years 4 or 5 of their grant </w:t>
      </w:r>
      <w:r>
        <w:t>performance period</w:t>
      </w:r>
      <w:r w:rsidRPr="00C57FC8">
        <w:t xml:space="preserve">, </w:t>
      </w:r>
      <w:r>
        <w:t xml:space="preserve">the Department </w:t>
      </w:r>
      <w:r w:rsidRPr="00C57FC8">
        <w:t>will expect</w:t>
      </w:r>
      <w:r>
        <w:t xml:space="preserve"> it</w:t>
      </w:r>
      <w:r w:rsidRPr="00C57FC8">
        <w:t xml:space="preserve"> to describe in the application </w:t>
      </w:r>
      <w:r>
        <w:t xml:space="preserve">how it will </w:t>
      </w:r>
      <w:r w:rsidRPr="00C57FC8">
        <w:t>provid</w:t>
      </w:r>
      <w:r>
        <w:t>e</w:t>
      </w:r>
      <w:r w:rsidRPr="00C57FC8">
        <w:t xml:space="preserve"> them with the required minimum two-year induction support, professional development</w:t>
      </w:r>
      <w:r w:rsidR="0014185C">
        <w:t xml:space="preserve">, and networking opportunities </w:t>
      </w:r>
      <w:r>
        <w:t xml:space="preserve">during and after </w:t>
      </w:r>
      <w:r w:rsidRPr="00C57FC8">
        <w:t xml:space="preserve">the </w:t>
      </w:r>
      <w:r>
        <w:t xml:space="preserve">end of the </w:t>
      </w:r>
      <w:r w:rsidRPr="00C57FC8">
        <w:t>five-year grant performance period.</w:t>
      </w:r>
      <w:bookmarkStart w:id="33" w:name="question17"/>
      <w:bookmarkStart w:id="34" w:name="question18"/>
      <w:bookmarkEnd w:id="33"/>
      <w:bookmarkEnd w:id="34"/>
      <w:r w:rsidR="0014185C">
        <w:t xml:space="preserve"> S</w:t>
      </w:r>
      <w:r w:rsidR="0014185C" w:rsidRPr="00C57FC8">
        <w:t xml:space="preserve">ee </w:t>
      </w:r>
      <w:r w:rsidR="0014185C">
        <w:t>HEA section 202(e)(2)(A)(vii) for more information.</w:t>
      </w:r>
    </w:p>
    <w:p w:rsidR="002D2274" w:rsidRPr="002D2274" w:rsidRDefault="002D2274" w:rsidP="002D2274">
      <w:pPr>
        <w:pStyle w:val="Heading2"/>
      </w:pPr>
      <w:bookmarkStart w:id="35" w:name="_Toc513617688"/>
      <w:r w:rsidRPr="002D2274">
        <w:t>What is the required length of the teaching residency program?</w:t>
      </w:r>
      <w:bookmarkEnd w:id="35"/>
      <w:r w:rsidRPr="002D2274">
        <w:t xml:space="preserve"> </w:t>
      </w:r>
    </w:p>
    <w:p w:rsidR="002D2274" w:rsidRDefault="002D2274" w:rsidP="002D2274">
      <w:r w:rsidRPr="00C57FC8">
        <w:t>The teaching residency program must be designed so that participants may complete it within 18 months</w:t>
      </w:r>
      <w:r>
        <w:t xml:space="preserve"> (i</w:t>
      </w:r>
      <w:r w:rsidRPr="00C57FC8">
        <w:t>.e.</w:t>
      </w:r>
      <w:r w:rsidR="00892293">
        <w:t>,</w:t>
      </w:r>
      <w:r w:rsidRPr="00C57FC8">
        <w:t xml:space="preserve"> the program must be designed so that within an 18-month period, residents may receive the necessary mentoring and instruction and earn a </w:t>
      </w:r>
      <w:proofErr w:type="gramStart"/>
      <w:r w:rsidRPr="00C57FC8">
        <w:t>Master’s</w:t>
      </w:r>
      <w:proofErr w:type="gramEnd"/>
      <w:r w:rsidRPr="00C57FC8">
        <w:t xml:space="preserve"> degree and initial teacher certification or licensure</w:t>
      </w:r>
      <w:r>
        <w:t>)</w:t>
      </w:r>
      <w:r w:rsidRPr="00C57FC8">
        <w:t>.</w:t>
      </w:r>
      <w:r>
        <w:t xml:space="preserve"> </w:t>
      </w:r>
      <w:r w:rsidRPr="00C57FC8">
        <w:t xml:space="preserve">TQP program funds may only be used to pay for residents’ stipends </w:t>
      </w:r>
      <w:r>
        <w:t xml:space="preserve">or salaries </w:t>
      </w:r>
      <w:r w:rsidRPr="00C57FC8">
        <w:t xml:space="preserve">for </w:t>
      </w:r>
      <w:r>
        <w:t xml:space="preserve">a </w:t>
      </w:r>
      <w:r w:rsidRPr="00C57FC8">
        <w:t>one-year (12</w:t>
      </w:r>
      <w:r>
        <w:t>-</w:t>
      </w:r>
      <w:r w:rsidRPr="00C57FC8">
        <w:t>month) period of that program.</w:t>
      </w:r>
      <w:r>
        <w:t xml:space="preserve"> </w:t>
      </w:r>
      <w:r w:rsidRPr="00C57FC8">
        <w:t xml:space="preserve">See </w:t>
      </w:r>
      <w:r w:rsidR="00F6649B">
        <w:t>HEA section 200(22) for more information</w:t>
      </w:r>
      <w:r>
        <w:t>.</w:t>
      </w:r>
    </w:p>
    <w:p w:rsidR="00F64075" w:rsidRDefault="00F64075" w:rsidP="00F64075">
      <w:pPr>
        <w:pStyle w:val="Heading2"/>
      </w:pPr>
      <w:bookmarkStart w:id="36" w:name="question19"/>
      <w:bookmarkStart w:id="37" w:name="question20"/>
      <w:bookmarkEnd w:id="36"/>
      <w:bookmarkEnd w:id="37"/>
      <w:r w:rsidRPr="00F64075">
        <w:t xml:space="preserve">What </w:t>
      </w:r>
      <w:r w:rsidR="005511C1">
        <w:t>a</w:t>
      </w:r>
      <w:r w:rsidRPr="00F64075">
        <w:t xml:space="preserve">dditional </w:t>
      </w:r>
      <w:r w:rsidR="00BF171C">
        <w:t xml:space="preserve">teacher resident </w:t>
      </w:r>
      <w:r w:rsidRPr="00F64075">
        <w:t>selection criteria may an applicant include for selecting</w:t>
      </w:r>
      <w:r>
        <w:t xml:space="preserve"> eligible individuals</w:t>
      </w:r>
      <w:r w:rsidRPr="00F64075">
        <w:t>?</w:t>
      </w:r>
    </w:p>
    <w:p w:rsidR="00F64075" w:rsidRDefault="00F64075" w:rsidP="00F64075">
      <w:r>
        <w:t xml:space="preserve">In addition to the </w:t>
      </w:r>
      <w:r w:rsidR="009B2029">
        <w:t>specified</w:t>
      </w:r>
      <w:r>
        <w:t xml:space="preserve"> criteria, an applicant, consistent with HEA section 202(e)</w:t>
      </w:r>
      <w:r w:rsidR="00E43887">
        <w:t>(2)</w:t>
      </w:r>
      <w:r>
        <w:t>(B)(ii), may include other attributes linked to effective teaching</w:t>
      </w:r>
      <w:r w:rsidR="0006293C">
        <w:t xml:space="preserve"> for selecting teacher residents</w:t>
      </w:r>
      <w:r>
        <w:t xml:space="preserve">, which may be determined by interviews or performance assessments, as specified by the eligible partnership. </w:t>
      </w:r>
    </w:p>
    <w:p w:rsidR="00F64075" w:rsidRDefault="00F64075" w:rsidP="00F64075">
      <w:r>
        <w:t>This could, for example, include requiring prospective teacher residents to perform a sample teaching lesson or interviewing with a panel of current teachers, in order to help select the most appropriate teacher residents for the applicant’s proposed program</w:t>
      </w:r>
      <w:r w:rsidR="005511C1">
        <w:t>.</w:t>
      </w:r>
    </w:p>
    <w:p w:rsidR="002D2274" w:rsidRPr="002D2274" w:rsidRDefault="002D2274" w:rsidP="002D2274">
      <w:pPr>
        <w:pStyle w:val="Heading2"/>
      </w:pPr>
      <w:bookmarkStart w:id="38" w:name="question24"/>
      <w:bookmarkStart w:id="39" w:name="_Toc513617690"/>
      <w:bookmarkEnd w:id="38"/>
      <w:r w:rsidRPr="002D2274">
        <w:t>May teacher mentors under the TQP program receive stipends?</w:t>
      </w:r>
      <w:bookmarkEnd w:id="39"/>
      <w:r w:rsidR="00D042F0">
        <w:t xml:space="preserve"> </w:t>
      </w:r>
    </w:p>
    <w:p w:rsidR="002D2274" w:rsidRPr="00C57FC8" w:rsidRDefault="002D2274" w:rsidP="002D2274">
      <w:r w:rsidRPr="00C57FC8">
        <w:t>Yes.</w:t>
      </w:r>
      <w:r>
        <w:t xml:space="preserve"> </w:t>
      </w:r>
      <w:r w:rsidRPr="00C57FC8">
        <w:t xml:space="preserve">TQP funds may be used to provide reasonable and necessary stipends or other supplemental compensation to teachers who have taken on additional responsibilities related to mentoring </w:t>
      </w:r>
      <w:r>
        <w:t>the teaching residents</w:t>
      </w:r>
      <w:r w:rsidRPr="00C57FC8">
        <w:t>.</w:t>
      </w:r>
      <w:r>
        <w:t xml:space="preserve"> </w:t>
      </w:r>
      <w:r w:rsidRPr="00C57FC8">
        <w:t>Supplemental compensation may include bonuses, salary differentials, incentives, or performance pay, based on the mentor</w:t>
      </w:r>
      <w:r>
        <w:t xml:space="preserve"> teacher</w:t>
      </w:r>
      <w:r w:rsidRPr="00C57FC8">
        <w:t xml:space="preserve">’s </w:t>
      </w:r>
      <w:r w:rsidR="0038763A">
        <w:t xml:space="preserve">extra skills and </w:t>
      </w:r>
      <w:r w:rsidRPr="00C57FC8">
        <w:t>responsibilities.</w:t>
      </w:r>
    </w:p>
    <w:p w:rsidR="002D2274" w:rsidRPr="002D2274" w:rsidRDefault="002D2274" w:rsidP="002D2274">
      <w:pPr>
        <w:pStyle w:val="Heading2"/>
      </w:pPr>
      <w:bookmarkStart w:id="40" w:name="_Toc513617691"/>
      <w:r w:rsidRPr="002D2274">
        <w:t>May TQP funds be used to secure replacement teachers for times when mentor teachers are working on TQP responsibilities outside their classrooms?</w:t>
      </w:r>
      <w:bookmarkEnd w:id="40"/>
    </w:p>
    <w:p w:rsidR="002D2274" w:rsidRPr="00C57FC8" w:rsidRDefault="002D2274" w:rsidP="002D2274">
      <w:r w:rsidRPr="00C57FC8">
        <w:t>Yes.</w:t>
      </w:r>
      <w:r>
        <w:t xml:space="preserve"> TQP f</w:t>
      </w:r>
      <w:r w:rsidRPr="00C57FC8">
        <w:t xml:space="preserve">unds may be used to cover the costs of replacement teachers </w:t>
      </w:r>
      <w:proofErr w:type="gramStart"/>
      <w:r w:rsidRPr="00C57FC8">
        <w:t>as long as</w:t>
      </w:r>
      <w:proofErr w:type="gramEnd"/>
      <w:r w:rsidRPr="00C57FC8">
        <w:t xml:space="preserve"> the LEA, under its established policies, would not pay for these costs in the absence of the TQP project (which therefore would constitute impermissible supplanting of other Federal, State</w:t>
      </w:r>
      <w:r>
        <w:t>,</w:t>
      </w:r>
      <w:r w:rsidR="00AE1D86">
        <w:t xml:space="preserve"> or local funds).</w:t>
      </w:r>
    </w:p>
    <w:p w:rsidR="002D2274" w:rsidRPr="002D2274" w:rsidRDefault="002D2274" w:rsidP="002D2274">
      <w:pPr>
        <w:pStyle w:val="Heading2"/>
      </w:pPr>
      <w:bookmarkStart w:id="41" w:name="question26"/>
      <w:bookmarkStart w:id="42" w:name="question27"/>
      <w:bookmarkStart w:id="43" w:name="question28"/>
      <w:bookmarkStart w:id="44" w:name="question29"/>
      <w:bookmarkStart w:id="45" w:name="question31"/>
      <w:bookmarkStart w:id="46" w:name="question32"/>
      <w:bookmarkStart w:id="47" w:name="question33"/>
      <w:bookmarkStart w:id="48" w:name="_Toc513617692"/>
      <w:bookmarkEnd w:id="41"/>
      <w:bookmarkEnd w:id="42"/>
      <w:bookmarkEnd w:id="43"/>
      <w:bookmarkEnd w:id="44"/>
      <w:bookmarkEnd w:id="45"/>
      <w:bookmarkEnd w:id="46"/>
      <w:bookmarkEnd w:id="47"/>
      <w:r w:rsidRPr="002D2274">
        <w:t xml:space="preserve">Is Early Childhood Education (ECE) a required component of </w:t>
      </w:r>
      <w:r w:rsidR="00E010CC" w:rsidRPr="002D2274">
        <w:t>the Absolute</w:t>
      </w:r>
      <w:r w:rsidRPr="002D2274">
        <w:t xml:space="preserve"> Priority for TQP projects?</w:t>
      </w:r>
      <w:bookmarkEnd w:id="48"/>
    </w:p>
    <w:p w:rsidR="002D2274" w:rsidRDefault="002D2274" w:rsidP="002D2274">
      <w:r w:rsidRPr="00C57FC8">
        <w:t>No</w:t>
      </w:r>
      <w:r>
        <w:t>. However, applicants that propose to prepare teachers to teach</w:t>
      </w:r>
      <w:r w:rsidR="00871C8A">
        <w:t xml:space="preserve"> in</w:t>
      </w:r>
      <w:r>
        <w:t xml:space="preserve"> early childhood education programs must focus their activities on providing project participants with the knowledge and skills they need in early childhood education</w:t>
      </w:r>
      <w:r w:rsidRPr="00C57FC8">
        <w:t>.</w:t>
      </w:r>
      <w:r>
        <w:t xml:space="preserve"> </w:t>
      </w:r>
      <w:r w:rsidR="00D47744">
        <w:t>See</w:t>
      </w:r>
      <w:r>
        <w:t xml:space="preserve"> HEA section</w:t>
      </w:r>
      <w:r w:rsidR="00D47744">
        <w:t>s</w:t>
      </w:r>
      <w:r w:rsidRPr="001A6081">
        <w:t xml:space="preserve"> 202(</w:t>
      </w:r>
      <w:r>
        <w:t>b)(6)(E)</w:t>
      </w:r>
      <w:r w:rsidR="00B22086">
        <w:t>(</w:t>
      </w:r>
      <w:proofErr w:type="spellStart"/>
      <w:r w:rsidR="00B22086">
        <w:t>i</w:t>
      </w:r>
      <w:proofErr w:type="spellEnd"/>
      <w:r w:rsidR="00B22086">
        <w:t>)</w:t>
      </w:r>
      <w:r>
        <w:t xml:space="preserve">, (b)(6)(K), </w:t>
      </w:r>
      <w:r w:rsidR="00D47744">
        <w:t xml:space="preserve">and </w:t>
      </w:r>
      <w:r>
        <w:t>(b)(7)(D</w:t>
      </w:r>
      <w:r w:rsidR="00D47744">
        <w:t>)</w:t>
      </w:r>
      <w:r w:rsidR="00B22086">
        <w:t>; HEA sections 200(4), 200(12), 200(17)(B)(iii), and 200(23)(H)</w:t>
      </w:r>
      <w:r w:rsidR="00D47744">
        <w:t>.</w:t>
      </w:r>
    </w:p>
    <w:p w:rsidR="002D2274" w:rsidRPr="002D2274" w:rsidRDefault="002D2274" w:rsidP="002D2274">
      <w:pPr>
        <w:pStyle w:val="Heading2"/>
      </w:pPr>
      <w:r w:rsidRPr="002D2274">
        <w:t>What is a “mid-career professional”?</w:t>
      </w:r>
    </w:p>
    <w:p w:rsidR="002D2274" w:rsidRPr="00FA069F" w:rsidRDefault="002D2274" w:rsidP="002D2274">
      <w:r w:rsidRPr="00FA069F">
        <w:t xml:space="preserve">A mid-career professional is someone in a profession other than teaching who has moved past entry-level but is not nearing the end of his or her career. A mid-career professional entering the teaching profession can bring specialized content knowledge, often in hard-to-staff subjects, into schools for the benefit of students. TQP </w:t>
      </w:r>
      <w:r>
        <w:t>applicants</w:t>
      </w:r>
      <w:r w:rsidRPr="00FA069F">
        <w:t xml:space="preserve"> might consider factors such as the following when designing a teacher preparation program that includes mid-career professionals:</w:t>
      </w:r>
    </w:p>
    <w:p w:rsidR="002D2274" w:rsidRPr="00FA069F" w:rsidRDefault="002D2274" w:rsidP="002D2274">
      <w:pPr>
        <w:pStyle w:val="ListParagraph"/>
        <w:numPr>
          <w:ilvl w:val="0"/>
          <w:numId w:val="21"/>
        </w:numPr>
      </w:pPr>
      <w:r w:rsidRPr="00FA069F">
        <w:t>Skills, certifications, and other professional qualifications</w:t>
      </w:r>
      <w:r>
        <w:t xml:space="preserve">; </w:t>
      </w:r>
    </w:p>
    <w:p w:rsidR="002D2274" w:rsidRPr="00FA069F" w:rsidRDefault="002D2274" w:rsidP="002D2274">
      <w:pPr>
        <w:pStyle w:val="ListParagraph"/>
        <w:numPr>
          <w:ilvl w:val="0"/>
          <w:numId w:val="21"/>
        </w:numPr>
      </w:pPr>
      <w:r w:rsidRPr="00FA069F">
        <w:t>Relevance of the professional subject area expertise to the teaching need</w:t>
      </w:r>
      <w:r>
        <w:t xml:space="preserve">; </w:t>
      </w:r>
    </w:p>
    <w:p w:rsidR="002D2274" w:rsidRPr="00FA069F" w:rsidRDefault="002D2274" w:rsidP="002D2274">
      <w:pPr>
        <w:pStyle w:val="ListParagraph"/>
        <w:numPr>
          <w:ilvl w:val="0"/>
          <w:numId w:val="21"/>
        </w:numPr>
      </w:pPr>
      <w:r w:rsidRPr="00FA069F">
        <w:t>Years in the profession</w:t>
      </w:r>
      <w:r>
        <w:t>; and</w:t>
      </w:r>
      <w:r w:rsidR="00E010CC">
        <w:t>/or</w:t>
      </w:r>
    </w:p>
    <w:p w:rsidR="002D2274" w:rsidRDefault="002D2274" w:rsidP="002D2274">
      <w:pPr>
        <w:pStyle w:val="ListParagraph"/>
        <w:numPr>
          <w:ilvl w:val="0"/>
          <w:numId w:val="21"/>
        </w:numPr>
      </w:pPr>
      <w:r w:rsidRPr="00FA069F">
        <w:t>Supervisory status</w:t>
      </w:r>
      <w:r>
        <w:t>.</w:t>
      </w:r>
    </w:p>
    <w:p w:rsidR="002D2274" w:rsidRPr="00C57FC8" w:rsidRDefault="002D2274" w:rsidP="002D2274">
      <w:pPr>
        <w:pStyle w:val="Heading1"/>
      </w:pPr>
      <w:bookmarkStart w:id="49" w:name="_Toc513617693"/>
      <w:r w:rsidRPr="00C57FC8">
        <w:t>Match</w:t>
      </w:r>
      <w:r>
        <w:t xml:space="preserve"> and </w:t>
      </w:r>
      <w:r w:rsidRPr="00C57FC8">
        <w:t>Budget Questions</w:t>
      </w:r>
      <w:bookmarkEnd w:id="49"/>
    </w:p>
    <w:p w:rsidR="002D2274" w:rsidRPr="002D2274" w:rsidRDefault="002D2274" w:rsidP="002D2274">
      <w:pPr>
        <w:pStyle w:val="Heading2"/>
      </w:pPr>
      <w:bookmarkStart w:id="50" w:name="_Toc513617694"/>
      <w:r w:rsidRPr="002D2274">
        <w:t>What is the amount of the non-Federal match requirement, and how do applicants identify the match in their applications?</w:t>
      </w:r>
      <w:bookmarkEnd w:id="50"/>
    </w:p>
    <w:p w:rsidR="002D2274" w:rsidRDefault="002D2274" w:rsidP="002D2274">
      <w:r>
        <w:t>The TQP non-Federal match amount is 100 percent of the amount of TQP grant f</w:t>
      </w:r>
      <w:r w:rsidR="00C06D88">
        <w:t>unds—a dollar for dollar match—</w:t>
      </w:r>
      <w:r w:rsidR="00C06D88" w:rsidRPr="00C57FC8">
        <w:t>which may be provided in cash or in kind</w:t>
      </w:r>
      <w:r w:rsidR="00C06D88">
        <w:t xml:space="preserve">. </w:t>
      </w:r>
      <w:r>
        <w:t xml:space="preserve">It is </w:t>
      </w:r>
      <w:r w:rsidRPr="00C57FC8">
        <w:t>calculated based on</w:t>
      </w:r>
      <w:r>
        <w:t xml:space="preserve"> the</w:t>
      </w:r>
      <w:r w:rsidRPr="00C57FC8">
        <w:t xml:space="preserve"> </w:t>
      </w:r>
      <w:r>
        <w:t xml:space="preserve">annual </w:t>
      </w:r>
      <w:r w:rsidRPr="00C57FC8">
        <w:t>amount of the TQP award</w:t>
      </w:r>
      <w:r>
        <w:t xml:space="preserve"> (e.g., if the Year 1 award request is $1,000,000, the applicant must match $1,000,000 with non-Federal funds)</w:t>
      </w:r>
      <w:r w:rsidRPr="00C57FC8">
        <w:t>.</w:t>
      </w:r>
      <w:r>
        <w:t xml:space="preserve"> </w:t>
      </w:r>
      <w:r w:rsidRPr="00C57FC8">
        <w:t xml:space="preserve">Applicants </w:t>
      </w:r>
      <w:r>
        <w:t xml:space="preserve">must </w:t>
      </w:r>
      <w:r w:rsidRPr="00C57FC8">
        <w:t xml:space="preserve">provide </w:t>
      </w:r>
      <w:r>
        <w:t xml:space="preserve">a proposed budget on form ED 524 Section B and </w:t>
      </w:r>
      <w:r w:rsidRPr="00C57FC8">
        <w:t xml:space="preserve">a detailed budget narrative to show how the match would be met based on the </w:t>
      </w:r>
      <w:r>
        <w:t>annual</w:t>
      </w:r>
      <w:r w:rsidRPr="00C57FC8">
        <w:t xml:space="preserve"> award amount requested.</w:t>
      </w:r>
    </w:p>
    <w:p w:rsidR="002D2274" w:rsidRDefault="002D2274" w:rsidP="002D2274">
      <w:r>
        <w:t>Matching funds are governed by</w:t>
      </w:r>
      <w:r w:rsidR="00380EFE">
        <w:t xml:space="preserve"> the </w:t>
      </w:r>
      <w:r w:rsidRPr="003E7A65">
        <w:t xml:space="preserve">provisions in 2 CFR </w:t>
      </w:r>
      <w:r w:rsidRPr="00362943">
        <w:rPr>
          <w:rFonts w:cs="Times New Roman"/>
        </w:rPr>
        <w:t>§</w:t>
      </w:r>
      <w:r w:rsidRPr="003E7A65">
        <w:t xml:space="preserve">200.306 from 2 CFR part 200, the </w:t>
      </w:r>
      <w:r w:rsidRPr="003E7A65">
        <w:rPr>
          <w:i/>
        </w:rPr>
        <w:t xml:space="preserve">Uniform Administrative Requirements, Cost Principles, And Audit Requirements </w:t>
      </w:r>
      <w:proofErr w:type="gramStart"/>
      <w:r w:rsidRPr="003E7A65">
        <w:rPr>
          <w:i/>
        </w:rPr>
        <w:t>For</w:t>
      </w:r>
      <w:proofErr w:type="gramEnd"/>
      <w:r w:rsidRPr="003E7A65">
        <w:rPr>
          <w:i/>
        </w:rPr>
        <w:t xml:space="preserve"> Federal Awards</w:t>
      </w:r>
      <w:r>
        <w:rPr>
          <w:i/>
        </w:rPr>
        <w:t xml:space="preserve"> </w:t>
      </w:r>
      <w:r>
        <w:t>(Uniform Guidance)</w:t>
      </w:r>
      <w:r w:rsidRPr="003E7A65">
        <w:t xml:space="preserve">. This regulation includes the requirement that funds used to meet matching requirements </w:t>
      </w:r>
      <w:r w:rsidR="00517839">
        <w:t xml:space="preserve">be allowable as if they were </w:t>
      </w:r>
      <w:r w:rsidRPr="003E7A65">
        <w:t xml:space="preserve">paid for with TQP </w:t>
      </w:r>
      <w:r w:rsidR="00517839">
        <w:t xml:space="preserve">program </w:t>
      </w:r>
      <w:r w:rsidRPr="003E7A65">
        <w:t xml:space="preserve">funds. See 2 CFR </w:t>
      </w:r>
      <w:r w:rsidRPr="00362943">
        <w:rPr>
          <w:rFonts w:cs="Times New Roman"/>
        </w:rPr>
        <w:t>§</w:t>
      </w:r>
      <w:r w:rsidRPr="003E7A65">
        <w:t>200.306(b)(4).</w:t>
      </w:r>
    </w:p>
    <w:p w:rsidR="00380EFE" w:rsidRDefault="00380EFE" w:rsidP="002D2274">
      <w:pPr>
        <w:rPr>
          <w:rFonts w:cs="Courier New"/>
        </w:rPr>
      </w:pPr>
      <w:r>
        <w:rPr>
          <w:rFonts w:cs="Courier New"/>
        </w:rPr>
        <w:t>T</w:t>
      </w:r>
      <w:r w:rsidRPr="00980478">
        <w:rPr>
          <w:rFonts w:cs="Courier New"/>
        </w:rPr>
        <w:t xml:space="preserve">he </w:t>
      </w:r>
      <w:r>
        <w:rPr>
          <w:rFonts w:cs="Courier New"/>
        </w:rPr>
        <w:t xml:space="preserve">NIA </w:t>
      </w:r>
      <w:r w:rsidRPr="00980478">
        <w:rPr>
          <w:rFonts w:cs="Courier New"/>
        </w:rPr>
        <w:t xml:space="preserve">selection criteria includes factors such as “the adequacy of support, including facilities, equipment, supplies, and other resources, from the applicant organization or the lead applicant </w:t>
      </w:r>
      <w:r w:rsidRPr="00877528">
        <w:rPr>
          <w:rFonts w:cs="Courier New"/>
        </w:rPr>
        <w:t>organization</w:t>
      </w:r>
      <w:r w:rsidRPr="00980478">
        <w:rPr>
          <w:rFonts w:cs="Courier New"/>
        </w:rPr>
        <w:t xml:space="preserve">” </w:t>
      </w:r>
      <w:r>
        <w:rPr>
          <w:rFonts w:cs="Courier New"/>
        </w:rPr>
        <w:t>and “</w:t>
      </w:r>
      <w:r w:rsidRPr="00877528">
        <w:rPr>
          <w:rFonts w:cs="Courier New"/>
        </w:rPr>
        <w:t>the relevance and demonstrated commitment of each partner in the proposed project to the implementation and success of the project</w:t>
      </w:r>
      <w:r>
        <w:rPr>
          <w:rFonts w:cs="Courier New"/>
        </w:rPr>
        <w:t>,</w:t>
      </w:r>
      <w:r w:rsidRPr="00877528">
        <w:rPr>
          <w:rFonts w:cs="Courier New"/>
        </w:rPr>
        <w:t>”</w:t>
      </w:r>
      <w:r w:rsidR="00D4742E">
        <w:rPr>
          <w:rFonts w:cs="Courier New"/>
        </w:rPr>
        <w:t xml:space="preserve"> </w:t>
      </w:r>
      <w:r w:rsidRPr="00980478">
        <w:rPr>
          <w:rFonts w:cs="Courier New"/>
        </w:rPr>
        <w:t>which may include a consideration of demonstrated matching support.</w:t>
      </w:r>
    </w:p>
    <w:p w:rsidR="0061201C" w:rsidRDefault="00274199" w:rsidP="002D2274">
      <w:pPr>
        <w:rPr>
          <w:rFonts w:cs="Courier New"/>
        </w:rPr>
      </w:pPr>
      <w:r w:rsidRPr="00274199">
        <w:rPr>
          <w:rFonts w:cs="Courier New"/>
        </w:rPr>
        <w:t>The Secretary does not, as a general matter, anticipate waiving this requirement in the future. Furthermore, given the importance of matching funds to the long-term success of the project, eligible entities must identify appropriate matching funds in the proposed budget.</w:t>
      </w:r>
    </w:p>
    <w:p w:rsidR="00D740E1" w:rsidRPr="003E7A65" w:rsidRDefault="00D740E1" w:rsidP="002D2274">
      <w:r>
        <w:rPr>
          <w:rFonts w:cs="Courier New"/>
        </w:rPr>
        <w:t xml:space="preserve">For more information, please see the </w:t>
      </w:r>
      <w:hyperlink r:id="rId13" w:history="1">
        <w:r w:rsidRPr="001751FD">
          <w:rPr>
            <w:rStyle w:val="Hyperlink"/>
            <w:rFonts w:cs="Courier New"/>
          </w:rPr>
          <w:t xml:space="preserve">TQP program </w:t>
        </w:r>
        <w:r w:rsidR="006D13EA">
          <w:rPr>
            <w:rStyle w:val="Hyperlink"/>
            <w:rFonts w:cs="Courier New"/>
          </w:rPr>
          <w:t>W</w:t>
        </w:r>
        <w:r w:rsidRPr="001751FD">
          <w:rPr>
            <w:rStyle w:val="Hyperlink"/>
            <w:rFonts w:cs="Courier New"/>
          </w:rPr>
          <w:t>ebsite</w:t>
        </w:r>
      </w:hyperlink>
      <w:r>
        <w:rPr>
          <w:rFonts w:cs="Courier New"/>
        </w:rPr>
        <w:t xml:space="preserve"> which includes sample match letters and match tracking documents.</w:t>
      </w:r>
    </w:p>
    <w:p w:rsidR="002D2274" w:rsidRPr="00C57FC8" w:rsidRDefault="002D2274" w:rsidP="002D2274">
      <w:pPr>
        <w:pStyle w:val="Heading2"/>
      </w:pPr>
      <w:bookmarkStart w:id="51" w:name="_Toc513617695"/>
      <w:r w:rsidRPr="00C57FC8">
        <w:t>Should applicants submit a multi</w:t>
      </w:r>
      <w:r>
        <w:t>-</w:t>
      </w:r>
      <w:r w:rsidRPr="00C57FC8">
        <w:t>year budget or just a Year 1 budget?</w:t>
      </w:r>
      <w:bookmarkEnd w:id="51"/>
    </w:p>
    <w:p w:rsidR="002D2274" w:rsidRDefault="002D2274" w:rsidP="002D2274">
      <w:r>
        <w:t xml:space="preserve">Applicants should submit a multi-year budget. </w:t>
      </w:r>
      <w:r w:rsidRPr="00C57FC8">
        <w:t xml:space="preserve">TQP grants </w:t>
      </w:r>
      <w:r>
        <w:t>are</w:t>
      </w:r>
      <w:r w:rsidRPr="00C57FC8">
        <w:t xml:space="preserve"> awarded for</w:t>
      </w:r>
      <w:r>
        <w:t xml:space="preserve"> a period of five years (i.e.</w:t>
      </w:r>
      <w:r w:rsidR="006D13EA">
        <w:t>,</w:t>
      </w:r>
      <w:r>
        <w:t xml:space="preserve"> 60 months) per HEA section 203(a)(1)</w:t>
      </w:r>
      <w:r w:rsidRPr="003526D2">
        <w:t>.</w:t>
      </w:r>
      <w:r>
        <w:t xml:space="preserve"> </w:t>
      </w:r>
      <w:r w:rsidRPr="00C57FC8">
        <w:t xml:space="preserve">Applicants must provide a proposed budget using form ED 524 and a detailed budget justification or narrative for </w:t>
      </w:r>
      <w:r w:rsidR="009A70DA">
        <w:t>all</w:t>
      </w:r>
      <w:r w:rsidRPr="00C57FC8">
        <w:t xml:space="preserve"> budget years of the proposed project</w:t>
      </w:r>
      <w:r>
        <w:t xml:space="preserve">. Applicants should also use the </w:t>
      </w:r>
      <w:r w:rsidR="009A70DA">
        <w:t xml:space="preserve">form </w:t>
      </w:r>
      <w:r>
        <w:t xml:space="preserve">ED 524 </w:t>
      </w:r>
      <w:r w:rsidR="009A70DA">
        <w:t>Section B</w:t>
      </w:r>
      <w:r>
        <w:t xml:space="preserve"> to describe non</w:t>
      </w:r>
      <w:r w:rsidR="006D13EA">
        <w:t>-F</w:t>
      </w:r>
      <w:r>
        <w:t>ederal funds being used to meet the matching requirement.</w:t>
      </w:r>
    </w:p>
    <w:p w:rsidR="002D2274" w:rsidRPr="002D2274" w:rsidRDefault="002D2274" w:rsidP="002D2274">
      <w:pPr>
        <w:pStyle w:val="Heading2"/>
      </w:pPr>
      <w:bookmarkStart w:id="52" w:name="_Toc513362839"/>
      <w:bookmarkStart w:id="53" w:name="_Toc513365372"/>
      <w:bookmarkStart w:id="54" w:name="_Toc513371590"/>
      <w:bookmarkStart w:id="55" w:name="_Toc513375330"/>
      <w:bookmarkStart w:id="56" w:name="_Toc513376688"/>
      <w:bookmarkStart w:id="57" w:name="_Toc513376739"/>
      <w:bookmarkStart w:id="58" w:name="_Toc513376842"/>
      <w:bookmarkStart w:id="59" w:name="_Toc513376894"/>
      <w:bookmarkStart w:id="60" w:name="_Toc513362840"/>
      <w:bookmarkStart w:id="61" w:name="_Toc513365373"/>
      <w:bookmarkStart w:id="62" w:name="_Toc513371591"/>
      <w:bookmarkStart w:id="63" w:name="_Toc513375331"/>
      <w:bookmarkStart w:id="64" w:name="_Toc513376689"/>
      <w:bookmarkStart w:id="65" w:name="_Toc513376740"/>
      <w:bookmarkStart w:id="66" w:name="_Toc513376843"/>
      <w:bookmarkStart w:id="67" w:name="_Toc513376895"/>
      <w:bookmarkStart w:id="68" w:name="_Toc513617696"/>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r w:rsidRPr="002D2274">
        <w:t>What is the “supplement, not supplant” requirement for the TQP program, and what does it mean for budgeting costs?</w:t>
      </w:r>
      <w:bookmarkEnd w:id="68"/>
    </w:p>
    <w:p w:rsidR="002D2274" w:rsidRDefault="002D2274" w:rsidP="002D2274">
      <w:proofErr w:type="gramStart"/>
      <w:r w:rsidRPr="00C57FC8">
        <w:t>The supplement,</w:t>
      </w:r>
      <w:proofErr w:type="gramEnd"/>
      <w:r w:rsidRPr="00C57FC8">
        <w:t xml:space="preserve"> not supplant requirement is in </w:t>
      </w:r>
      <w:r w:rsidRPr="0015609C">
        <w:t>HEA section 202</w:t>
      </w:r>
      <w:r w:rsidRPr="00A56B27">
        <w:t>(k)</w:t>
      </w:r>
      <w:r w:rsidRPr="00C57FC8">
        <w:t>.</w:t>
      </w:r>
      <w:r>
        <w:t xml:space="preserve"> </w:t>
      </w:r>
      <w:r w:rsidRPr="00C57FC8">
        <w:t>It provides that grantees must not use TQP funds to pay for activities that are already being carried out, or that must be carried out, by the grantee or its partners with Federal, State, or local funds.</w:t>
      </w:r>
      <w:r w:rsidR="00D042F0">
        <w:t xml:space="preserve"> </w:t>
      </w:r>
      <w:r w:rsidRPr="00C57FC8">
        <w:t>“Local” funds include private IHE and other privately contributed funds</w:t>
      </w:r>
      <w:r>
        <w:t xml:space="preserve">. </w:t>
      </w:r>
      <w:r w:rsidRPr="00C57FC8">
        <w:t>In addition, matching contributions must likewise supplement non-TQP funds that would be provided in the absence of the TQP grant.</w:t>
      </w:r>
    </w:p>
    <w:p w:rsidR="002D2274" w:rsidRPr="002D2274" w:rsidRDefault="002D2274" w:rsidP="002D2274">
      <w:pPr>
        <w:pStyle w:val="Heading2"/>
      </w:pPr>
      <w:bookmarkStart w:id="69" w:name="_Toc513617697"/>
      <w:r w:rsidRPr="002D2274">
        <w:t>What is the limitation on administrative expenses for the grant?</w:t>
      </w:r>
      <w:bookmarkEnd w:id="69"/>
    </w:p>
    <w:p w:rsidR="00E94E46" w:rsidRPr="00E94E46" w:rsidRDefault="002D2274" w:rsidP="002D2274">
      <w:r w:rsidRPr="00E94E46">
        <w:t>Per HEA section 203(d), an eligible partnership that receives a grant may use not more than two percent of the funds provided to administer the grant</w:t>
      </w:r>
      <w:r w:rsidR="00E94E46">
        <w:t>. Applicants are strongly encouraged to provide a detail</w:t>
      </w:r>
      <w:r w:rsidR="00382671">
        <w:t>ed</w:t>
      </w:r>
      <w:r w:rsidR="00E94E46">
        <w:t xml:space="preserve"> budget narrative that explains how their proposed budget adheres to the two percent adminis</w:t>
      </w:r>
      <w:r w:rsidR="00EA7882">
        <w:t>trative cost</w:t>
      </w:r>
      <w:r w:rsidR="00E94E46">
        <w:t xml:space="preserve"> cap. More information on the administrative cap, including a webinar describing the cap, can be found on the </w:t>
      </w:r>
      <w:hyperlink r:id="rId14" w:history="1">
        <w:r w:rsidR="00E94E46" w:rsidRPr="001751FD">
          <w:rPr>
            <w:rStyle w:val="Hyperlink"/>
          </w:rPr>
          <w:t xml:space="preserve">TQP program </w:t>
        </w:r>
        <w:r w:rsidR="006D13EA">
          <w:rPr>
            <w:rStyle w:val="Hyperlink"/>
          </w:rPr>
          <w:t>W</w:t>
        </w:r>
        <w:r w:rsidR="00E94E46" w:rsidRPr="001751FD">
          <w:rPr>
            <w:rStyle w:val="Hyperlink"/>
          </w:rPr>
          <w:t>ebsite</w:t>
        </w:r>
      </w:hyperlink>
      <w:r w:rsidR="00E94E46">
        <w:t>.</w:t>
      </w:r>
    </w:p>
    <w:p w:rsidR="002D2274" w:rsidRPr="001A6081" w:rsidRDefault="002D2274" w:rsidP="002D2274">
      <w:pPr>
        <w:pStyle w:val="Heading2"/>
      </w:pPr>
      <w:bookmarkStart w:id="70" w:name="_Toc513617698"/>
      <w:r w:rsidRPr="001A6081">
        <w:t xml:space="preserve">How does an eligible partnership determine the amount of indirect costs that it may charge to </w:t>
      </w:r>
      <w:r w:rsidR="00E949AE">
        <w:t>the TQP grant</w:t>
      </w:r>
      <w:r w:rsidRPr="001A6081">
        <w:t>?</w:t>
      </w:r>
      <w:bookmarkEnd w:id="70"/>
    </w:p>
    <w:p w:rsidR="002D2274" w:rsidRDefault="002D2274" w:rsidP="002D2274">
      <w:r>
        <w:t xml:space="preserve">Under 34 CFR </w:t>
      </w:r>
      <w:r w:rsidRPr="00AA34EE">
        <w:rPr>
          <w:rFonts w:cs="Times New Roman"/>
        </w:rPr>
        <w:t>§</w:t>
      </w:r>
      <w:r>
        <w:t xml:space="preserve">75.563 and </w:t>
      </w:r>
      <w:r w:rsidRPr="00CE6D65">
        <w:rPr>
          <w:rFonts w:cs="Times New Roman"/>
        </w:rPr>
        <w:t>§</w:t>
      </w:r>
      <w:r>
        <w:t xml:space="preserve">76.563(c), the indirect cost rate that an eligible applicant may use to charge indirect costs to TQP funds may be no more than eight percent. In addition, because the TQP eligible </w:t>
      </w:r>
      <w:r w:rsidR="0006633A">
        <w:t>partnership</w:t>
      </w:r>
      <w:r>
        <w:t xml:space="preserve"> is a group applicant (see 34 </w:t>
      </w:r>
      <w:r w:rsidRPr="00CE6D65">
        <w:rPr>
          <w:rFonts w:cs="Times New Roman"/>
        </w:rPr>
        <w:t>§§</w:t>
      </w:r>
      <w:r w:rsidR="0006633A">
        <w:t>CFR 75.127-7</w:t>
      </w:r>
      <w:r>
        <w:t xml:space="preserve">5.129), under 34 CFR </w:t>
      </w:r>
      <w:r w:rsidRPr="00CE6D65">
        <w:rPr>
          <w:rFonts w:cs="Times New Roman"/>
        </w:rPr>
        <w:t>§</w:t>
      </w:r>
      <w:r>
        <w:t>75.564(e), t</w:t>
      </w:r>
      <w:r w:rsidRPr="00C57FC8">
        <w:t xml:space="preserve">he </w:t>
      </w:r>
      <w:r>
        <w:t xml:space="preserve">eligible partnership must use a restricted indirect cost rate (RICR) that is no greater than the amount of the lead applicant’s RICR if that rate is less than eight percent. Under 34 CFR </w:t>
      </w:r>
      <w:r w:rsidRPr="00CE6D65">
        <w:rPr>
          <w:rFonts w:cs="Times New Roman"/>
        </w:rPr>
        <w:t>§</w:t>
      </w:r>
      <w:r>
        <w:t xml:space="preserve">75.128(b), the members of the eligible partnership need to enter into an agreement that details the responsibilities of each partner, and this agreement should, among other things, identify how indirect costs will be apportioned among members of the eligible partnership. </w:t>
      </w:r>
      <w:r w:rsidRPr="00307381">
        <w:t>For more information on indirect costs, see 34 CFR</w:t>
      </w:r>
      <w:r w:rsidRPr="00A56B27">
        <w:t xml:space="preserve"> </w:t>
      </w:r>
      <w:r w:rsidRPr="00A56B27">
        <w:rPr>
          <w:rFonts w:cs="Times New Roman"/>
        </w:rPr>
        <w:t>§</w:t>
      </w:r>
      <w:r w:rsidRPr="00CE6D65">
        <w:rPr>
          <w:rFonts w:cs="Times New Roman"/>
        </w:rPr>
        <w:t>§</w:t>
      </w:r>
      <w:r w:rsidRPr="00307381">
        <w:t xml:space="preserve">75.560-75.561 and </w:t>
      </w:r>
      <w:r w:rsidRPr="00CE6D65">
        <w:rPr>
          <w:rFonts w:cs="Times New Roman"/>
        </w:rPr>
        <w:t>§§</w:t>
      </w:r>
      <w:r w:rsidRPr="00307381">
        <w:t>75.563-75.564.</w:t>
      </w:r>
    </w:p>
    <w:p w:rsidR="002D2274" w:rsidRPr="002D2274" w:rsidRDefault="002D2274" w:rsidP="002D2274">
      <w:pPr>
        <w:pStyle w:val="Heading2"/>
      </w:pPr>
      <w:bookmarkStart w:id="71" w:name="_Toc513617699"/>
      <w:r w:rsidRPr="002D2274">
        <w:t>How may a lead applicant that does not have a</w:t>
      </w:r>
      <w:r w:rsidR="006D13EA">
        <w:t xml:space="preserve">n </w:t>
      </w:r>
      <w:r w:rsidRPr="002D2274">
        <w:t>RICR obtain one?</w:t>
      </w:r>
      <w:bookmarkEnd w:id="71"/>
    </w:p>
    <w:p w:rsidR="002D2274" w:rsidRPr="00C57FC8" w:rsidRDefault="002D2274" w:rsidP="002D2274">
      <w:r w:rsidRPr="00C57FC8">
        <w:t>If a</w:t>
      </w:r>
      <w:r>
        <w:t xml:space="preserve"> lead</w:t>
      </w:r>
      <w:r w:rsidRPr="00C57FC8">
        <w:t xml:space="preserve"> applicant that does not have an approved </w:t>
      </w:r>
      <w:r>
        <w:t xml:space="preserve">RICR </w:t>
      </w:r>
      <w:r w:rsidRPr="00C57FC8">
        <w:t xml:space="preserve">would like to </w:t>
      </w:r>
      <w:r>
        <w:t>obtain</w:t>
      </w:r>
      <w:r w:rsidRPr="00C57FC8">
        <w:t xml:space="preserve"> one, please email the </w:t>
      </w:r>
      <w:r>
        <w:t>Department’s Indirect Cost Rate</w:t>
      </w:r>
      <w:r w:rsidRPr="00C57FC8">
        <w:t xml:space="preserve"> Group at </w:t>
      </w:r>
      <w:hyperlink r:id="rId15" w:history="1">
        <w:r w:rsidRPr="00C57FC8">
          <w:rPr>
            <w:rStyle w:val="Hyperlink"/>
            <w:rFonts w:eastAsia="Times New Roman" w:cs="Arial"/>
          </w:rPr>
          <w:t>IndirectCostGroup@ed.gov</w:t>
        </w:r>
      </w:hyperlink>
      <w:r w:rsidRPr="00C57FC8">
        <w:t xml:space="preserve"> for instructions. </w:t>
      </w:r>
      <w:r>
        <w:t>The Department</w:t>
      </w:r>
      <w:r w:rsidDel="006D13EA">
        <w:t xml:space="preserve"> </w:t>
      </w:r>
      <w:r>
        <w:t>will provide direct support if it is the cognizant Federal agency.</w:t>
      </w:r>
      <w:r w:rsidR="00D042F0">
        <w:t xml:space="preserve"> </w:t>
      </w:r>
      <w:r>
        <w:t xml:space="preserve">The cognizant Federal agency is the Federal agency that </w:t>
      </w:r>
      <w:r w:rsidRPr="00C57FC8">
        <w:t>provid</w:t>
      </w:r>
      <w:r>
        <w:t>es</w:t>
      </w:r>
      <w:r w:rsidRPr="00C57FC8">
        <w:t xml:space="preserve"> the most direct </w:t>
      </w:r>
      <w:r>
        <w:t>F</w:t>
      </w:r>
      <w:r w:rsidRPr="00C57FC8">
        <w:t>ederal funding</w:t>
      </w:r>
      <w:r>
        <w:t xml:space="preserve"> to the lead applicant</w:t>
      </w:r>
      <w:r w:rsidRPr="00C57FC8">
        <w:t>.</w:t>
      </w:r>
    </w:p>
    <w:p w:rsidR="002D2274" w:rsidRPr="002D2274" w:rsidRDefault="002D2274" w:rsidP="002D2274">
      <w:pPr>
        <w:pStyle w:val="Heading2"/>
      </w:pPr>
      <w:bookmarkStart w:id="72" w:name="_Toc513617700"/>
      <w:r w:rsidRPr="002D2274">
        <w:t>May unrecovered indirect cost funds be used to meet the TQP non-Federal match requirement?</w:t>
      </w:r>
      <w:bookmarkEnd w:id="72"/>
    </w:p>
    <w:p w:rsidR="00E949AE" w:rsidRDefault="002D2274" w:rsidP="0023349D">
      <w:r w:rsidRPr="00C57FC8">
        <w:t>No.</w:t>
      </w:r>
      <w:r>
        <w:t xml:space="preserve"> </w:t>
      </w:r>
      <w:r w:rsidRPr="00565F71">
        <w:t xml:space="preserve">As noted </w:t>
      </w:r>
      <w:r w:rsidR="0086182D">
        <w:t>in Question 30</w:t>
      </w:r>
      <w:r w:rsidRPr="00565F71">
        <w:t xml:space="preserve">, </w:t>
      </w:r>
      <w:r w:rsidR="006D13EA">
        <w:t>F</w:t>
      </w:r>
      <w:r w:rsidRPr="00565F71">
        <w:t>ederal cost principles provide that matching funds are allowable only if they would be allowable if paid for with TQP funds.</w:t>
      </w:r>
      <w:r>
        <w:t xml:space="preserve"> </w:t>
      </w:r>
      <w:r w:rsidRPr="00565F71">
        <w:t xml:space="preserve">Since indirect costs charged to TQP funds may not exceed the amount using a restricted indirect cost that is the lesser of </w:t>
      </w:r>
      <w:r>
        <w:t>eight percent</w:t>
      </w:r>
      <w:r w:rsidRPr="00565F71">
        <w:t xml:space="preserve"> or the negotiated</w:t>
      </w:r>
      <w:r w:rsidR="0086182D">
        <w:t xml:space="preserve"> RICR</w:t>
      </w:r>
      <w:r w:rsidRPr="00565F71">
        <w:t>, indirect costs that exceed this amount may not be used as a non-</w:t>
      </w:r>
      <w:r w:rsidR="006D13EA">
        <w:t>F</w:t>
      </w:r>
      <w:r w:rsidRPr="00565F71">
        <w:t>ederal match.</w:t>
      </w:r>
      <w:r w:rsidR="0086182D">
        <w:t xml:space="preserve"> </w:t>
      </w:r>
      <w:r w:rsidR="0086182D" w:rsidRPr="003E7A65">
        <w:t xml:space="preserve">See 2 CFR </w:t>
      </w:r>
      <w:r w:rsidR="0086182D" w:rsidRPr="00362943">
        <w:rPr>
          <w:rFonts w:cs="Times New Roman"/>
        </w:rPr>
        <w:t>§</w:t>
      </w:r>
      <w:r w:rsidR="0086182D" w:rsidRPr="003E7A65">
        <w:t>200.306(b)(4)</w:t>
      </w:r>
      <w:r w:rsidR="0086182D">
        <w:t>.</w:t>
      </w:r>
      <w:bookmarkStart w:id="73" w:name="_Toc513617701"/>
    </w:p>
    <w:p w:rsidR="002D2274" w:rsidRDefault="002D2274" w:rsidP="002D2274">
      <w:pPr>
        <w:pStyle w:val="Heading1"/>
      </w:pPr>
      <w:r w:rsidRPr="00F71882">
        <w:t>Evaluation Questions</w:t>
      </w:r>
      <w:bookmarkEnd w:id="73"/>
    </w:p>
    <w:p w:rsidR="002D2274" w:rsidRPr="002D2274" w:rsidRDefault="002D2274" w:rsidP="002D2274">
      <w:pPr>
        <w:pStyle w:val="Heading2"/>
      </w:pPr>
      <w:bookmarkStart w:id="74" w:name="_Toc513617702"/>
      <w:r w:rsidRPr="002D2274">
        <w:t>What measures should be included in the applicant’s evaluation plan?</w:t>
      </w:r>
      <w:bookmarkEnd w:id="74"/>
    </w:p>
    <w:p w:rsidR="002D2274" w:rsidRPr="002D2274" w:rsidRDefault="002D2274" w:rsidP="002D2274">
      <w:pPr>
        <w:rPr>
          <w:b/>
        </w:rPr>
      </w:pPr>
      <w:r w:rsidRPr="00F71882">
        <w:t xml:space="preserve">Applicants should </w:t>
      </w:r>
      <w:r>
        <w:t xml:space="preserve">include both </w:t>
      </w:r>
      <w:r w:rsidRPr="00F71882">
        <w:t xml:space="preserve">the </w:t>
      </w:r>
      <w:r>
        <w:t>Government Performance and Results Act of 1993 (GPRA)</w:t>
      </w:r>
      <w:r w:rsidRPr="00F71882">
        <w:t xml:space="preserve"> measures </w:t>
      </w:r>
      <w:r>
        <w:t>found in the FY 2019 NIA and measures that are unique to the applicant’s project as part of their evaluation plan. Applicants will report on all these measures annually as part of the annual performance report. Several of the TQP GPRA measures do not yield results in Years 1 and 2. An explanation of how to report on these measures and possible options to reduce the grantee reporting burden will be provided to successful applicants shortly after awards have been made.</w:t>
      </w:r>
      <w:r w:rsidR="00D042F0">
        <w:t xml:space="preserve"> </w:t>
      </w:r>
    </w:p>
    <w:p w:rsidR="002D2274" w:rsidRPr="002D2274" w:rsidRDefault="002D2274" w:rsidP="002D2274">
      <w:pPr>
        <w:pStyle w:val="Heading2"/>
      </w:pPr>
      <w:bookmarkStart w:id="75" w:name="_Toc513617703"/>
      <w:r w:rsidRPr="002D2274">
        <w:t>In evaluating TQP projects, must eligible partnerships use an outside evaluator?</w:t>
      </w:r>
      <w:bookmarkEnd w:id="75"/>
      <w:r w:rsidRPr="002D2274">
        <w:t xml:space="preserve"> </w:t>
      </w:r>
    </w:p>
    <w:p w:rsidR="00FA3100" w:rsidRDefault="002D2274" w:rsidP="002D2274">
      <w:r w:rsidRPr="00C57FC8">
        <w:t>No.</w:t>
      </w:r>
      <w:r>
        <w:t xml:space="preserve"> Those eligible applicants that wish to use an outside evaluator may also wish to consider selecting the evaluator and identifying it in the application using </w:t>
      </w:r>
      <w:r w:rsidRPr="00FA3100">
        <w:t xml:space="preserve">procedures in </w:t>
      </w:r>
      <w:hyperlink r:id="rId16" w:history="1">
        <w:r w:rsidRPr="00FA3100">
          <w:rPr>
            <w:rStyle w:val="Hyperlink"/>
            <w:rFonts w:eastAsia="Times New Roman" w:cs="Arial"/>
            <w:color w:val="auto"/>
            <w:u w:val="none"/>
          </w:rPr>
          <w:t xml:space="preserve">34 CFR </w:t>
        </w:r>
        <w:r w:rsidRPr="00FA3100">
          <w:rPr>
            <w:rFonts w:cs="Times New Roman"/>
            <w:bCs/>
          </w:rPr>
          <w:t>§</w:t>
        </w:r>
        <w:r w:rsidRPr="00FA3100">
          <w:rPr>
            <w:rStyle w:val="Hyperlink"/>
            <w:rFonts w:eastAsia="Times New Roman" w:cs="Arial"/>
            <w:color w:val="auto"/>
            <w:u w:val="none"/>
          </w:rPr>
          <w:t>75.135</w:t>
        </w:r>
      </w:hyperlink>
      <w:r w:rsidRPr="00FA3100">
        <w:rPr>
          <w:rStyle w:val="Hyperlink"/>
          <w:rFonts w:eastAsia="Times New Roman" w:cs="Arial"/>
          <w:color w:val="auto"/>
          <w:u w:val="none"/>
        </w:rPr>
        <w:t xml:space="preserve">, which </w:t>
      </w:r>
      <w:r w:rsidRPr="00FA3100">
        <w:t xml:space="preserve">allows </w:t>
      </w:r>
      <w:r>
        <w:t>a</w:t>
      </w:r>
      <w:r w:rsidRPr="00BC020D">
        <w:t xml:space="preserve"> contract for data collection, data analysis, evaluation s</w:t>
      </w:r>
      <w:r>
        <w:t>ervices, or essential services to use</w:t>
      </w:r>
      <w:r w:rsidRPr="00BC020D">
        <w:t xml:space="preserve"> the informal, small-purchase procurement procedures in </w:t>
      </w:r>
      <w:r>
        <w:t xml:space="preserve">the Uniform Guidance. See </w:t>
      </w:r>
      <w:r w:rsidRPr="00BC020D">
        <w:t xml:space="preserve">2 CFR </w:t>
      </w:r>
      <w:r w:rsidRPr="00CE6D65">
        <w:rPr>
          <w:rFonts w:cs="Times New Roman"/>
          <w:bCs/>
        </w:rPr>
        <w:t>§</w:t>
      </w:r>
      <w:r w:rsidRPr="00BC020D">
        <w:t>200.320(b)</w:t>
      </w:r>
      <w:r w:rsidRPr="00C57FC8">
        <w:t>.</w:t>
      </w:r>
      <w:r>
        <w:t xml:space="preserve"> </w:t>
      </w:r>
    </w:p>
    <w:p w:rsidR="002D2274" w:rsidRPr="002D2274" w:rsidRDefault="002D2274" w:rsidP="00FA3100">
      <w:r>
        <w:t>Whether or not the eligible partnership uses an outside evaluator, the Depart</w:t>
      </w:r>
      <w:r w:rsidR="0006633A">
        <w:t>ment strongly recommends that applicants</w:t>
      </w:r>
      <w:r>
        <w:t xml:space="preserve"> </w:t>
      </w:r>
      <w:r w:rsidRPr="00C57FC8">
        <w:t xml:space="preserve">provide a detailed list of responsibilities for the </w:t>
      </w:r>
      <w:r w:rsidR="000B3360">
        <w:t xml:space="preserve">selected </w:t>
      </w:r>
      <w:r w:rsidRPr="00C57FC8">
        <w:t xml:space="preserve">evaluator in </w:t>
      </w:r>
      <w:r>
        <w:t>its</w:t>
      </w:r>
      <w:r w:rsidRPr="00C57FC8">
        <w:t xml:space="preserve"> application.</w:t>
      </w:r>
    </w:p>
    <w:sectPr w:rsidR="002D2274" w:rsidRPr="002D2274" w:rsidSect="002D2274">
      <w:footerReference w:type="default" r:id="rId17"/>
      <w:pgSz w:w="12240" w:h="15840"/>
      <w:pgMar w:top="1152"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7622" w:rsidRDefault="002D7622" w:rsidP="002D2274">
      <w:pPr>
        <w:spacing w:after="0"/>
      </w:pPr>
      <w:r>
        <w:separator/>
      </w:r>
    </w:p>
  </w:endnote>
  <w:endnote w:type="continuationSeparator" w:id="0">
    <w:p w:rsidR="002D7622" w:rsidRDefault="002D7622" w:rsidP="002D2274">
      <w:pPr>
        <w:spacing w:after="0"/>
      </w:pPr>
      <w:r>
        <w:continuationSeparator/>
      </w:r>
    </w:p>
  </w:endnote>
  <w:endnote w:type="continuationNotice" w:id="1">
    <w:p w:rsidR="002D7622" w:rsidRDefault="002D7622">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0334880"/>
      <w:docPartObj>
        <w:docPartGallery w:val="Page Numbers (Bottom of Page)"/>
        <w:docPartUnique/>
      </w:docPartObj>
    </w:sdtPr>
    <w:sdtEndPr>
      <w:rPr>
        <w:noProof/>
      </w:rPr>
    </w:sdtEndPr>
    <w:sdtContent>
      <w:p w:rsidR="000538CD" w:rsidRDefault="000538CD">
        <w:pPr>
          <w:pStyle w:val="Footer"/>
          <w:jc w:val="center"/>
        </w:pPr>
        <w:r>
          <w:fldChar w:fldCharType="begin"/>
        </w:r>
        <w:r>
          <w:instrText xml:space="preserve"> PAGE   \* MERGEFORMAT </w:instrText>
        </w:r>
        <w:r>
          <w:fldChar w:fldCharType="separate"/>
        </w:r>
        <w:r w:rsidR="00592BF6">
          <w:rPr>
            <w:noProof/>
          </w:rPr>
          <w:t>5</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7622" w:rsidRDefault="002D7622" w:rsidP="002D2274">
      <w:pPr>
        <w:spacing w:after="0"/>
      </w:pPr>
      <w:r>
        <w:separator/>
      </w:r>
    </w:p>
  </w:footnote>
  <w:footnote w:type="continuationSeparator" w:id="0">
    <w:p w:rsidR="002D7622" w:rsidRDefault="002D7622" w:rsidP="002D2274">
      <w:pPr>
        <w:spacing w:after="0"/>
      </w:pPr>
      <w:r>
        <w:continuationSeparator/>
      </w:r>
    </w:p>
  </w:footnote>
  <w:footnote w:type="continuationNotice" w:id="1">
    <w:p w:rsidR="002D7622" w:rsidRDefault="002D7622">
      <w:pPr>
        <w:spacing w:after="0"/>
      </w:pPr>
    </w:p>
  </w:footnote>
  <w:footnote w:id="2">
    <w:p w:rsidR="000538CD" w:rsidRPr="002D2274" w:rsidRDefault="000538CD" w:rsidP="002D2274">
      <w:pPr>
        <w:pStyle w:val="FootnoteText"/>
        <w:rPr>
          <w:sz w:val="18"/>
        </w:rPr>
      </w:pPr>
      <w:r>
        <w:rPr>
          <w:rStyle w:val="FootnoteReference"/>
        </w:rPr>
        <w:footnoteRef/>
      </w:r>
      <w:r>
        <w:t xml:space="preserve"> </w:t>
      </w:r>
      <w:r w:rsidRPr="002D2274">
        <w:rPr>
          <w:sz w:val="18"/>
        </w:rPr>
        <w:t>The purpose of this guidance is to provide information about the FY 2019 Teacher Quality Partnership (TQP)</w:t>
      </w:r>
    </w:p>
    <w:p w:rsidR="000538CD" w:rsidRDefault="000538CD" w:rsidP="002D2274">
      <w:pPr>
        <w:pStyle w:val="FootnoteText"/>
      </w:pPr>
      <w:r w:rsidRPr="002D2274">
        <w:rPr>
          <w:sz w:val="18"/>
        </w:rPr>
        <w:t>Program competition. This guidance does not impose</w:t>
      </w:r>
      <w:r w:rsidR="00812635">
        <w:rPr>
          <w:sz w:val="18"/>
        </w:rPr>
        <w:t xml:space="preserve"> any requirements beyond those </w:t>
      </w:r>
      <w:r w:rsidRPr="002D2274">
        <w:rPr>
          <w:sz w:val="18"/>
        </w:rPr>
        <w:t xml:space="preserve">in the TQP program statute (20 U.S.C. §§1021—1022h), </w:t>
      </w:r>
      <w:r w:rsidR="00812635" w:rsidRPr="002D2274">
        <w:rPr>
          <w:sz w:val="18"/>
        </w:rPr>
        <w:t>the Notice Inviting Applications (NIA)</w:t>
      </w:r>
      <w:r w:rsidR="00812635">
        <w:rPr>
          <w:sz w:val="18"/>
        </w:rPr>
        <w:t xml:space="preserve">, </w:t>
      </w:r>
      <w:r w:rsidR="00FD023E">
        <w:rPr>
          <w:sz w:val="18"/>
        </w:rPr>
        <w:t xml:space="preserve">34 CFR part 75, </w:t>
      </w:r>
      <w:r w:rsidR="00B21BCB">
        <w:rPr>
          <w:sz w:val="18"/>
        </w:rPr>
        <w:t xml:space="preserve">2 CFR part 200, </w:t>
      </w:r>
      <w:r w:rsidR="00812635">
        <w:rPr>
          <w:sz w:val="18"/>
        </w:rPr>
        <w:t xml:space="preserve">or </w:t>
      </w:r>
      <w:r w:rsidRPr="002D2274">
        <w:rPr>
          <w:sz w:val="18"/>
        </w:rPr>
        <w:t xml:space="preserve">other applicable regulations. The Department will provide additional or updated program guidance, as necessary, on its TQP program web site: </w:t>
      </w:r>
      <w:hyperlink r:id="rId1" w:history="1">
        <w:r w:rsidRPr="002D2274">
          <w:rPr>
            <w:rStyle w:val="Hyperlink"/>
            <w:sz w:val="18"/>
          </w:rPr>
          <w:t>http://innovation.ed.gov/what-we-do/teacher-quality/teacher-quality-partnership/</w:t>
        </w:r>
      </w:hyperlink>
      <w:r w:rsidRPr="002D2274">
        <w:rPr>
          <w:sz w:val="18"/>
        </w:rPr>
        <w:t xml:space="preserve">. If you have further questions that are not answered here or have comments regarding this guidance, please email </w:t>
      </w:r>
      <w:hyperlink r:id="rId2" w:history="1">
        <w:r w:rsidRPr="002D2274">
          <w:rPr>
            <w:rStyle w:val="Hyperlink"/>
            <w:sz w:val="18"/>
          </w:rPr>
          <w:t>TQPartnership@ed.gov</w:t>
        </w:r>
      </w:hyperlink>
      <w:r w:rsidRPr="002D2274">
        <w:rPr>
          <w:sz w:val="18"/>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56521"/>
    <w:multiLevelType w:val="hybridMultilevel"/>
    <w:tmpl w:val="E568671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6062D7"/>
    <w:multiLevelType w:val="hybridMultilevel"/>
    <w:tmpl w:val="538C9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8C1058"/>
    <w:multiLevelType w:val="hybridMultilevel"/>
    <w:tmpl w:val="CEE6C7CC"/>
    <w:lvl w:ilvl="0" w:tplc="7986AD7C">
      <w:start w:val="1"/>
      <w:numFmt w:val="upperLetter"/>
      <w:lvlText w:val="%1)"/>
      <w:lvlJc w:val="left"/>
      <w:pPr>
        <w:ind w:left="720" w:hanging="360"/>
      </w:pPr>
      <w:rPr>
        <w:rFonts w:asciiTheme="minorHAnsi" w:eastAsia="Times New Roman" w:hAnsiTheme="minorHAnsi"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1A1AA8"/>
    <w:multiLevelType w:val="hybridMultilevel"/>
    <w:tmpl w:val="CEE6C7CC"/>
    <w:lvl w:ilvl="0" w:tplc="7986AD7C">
      <w:start w:val="1"/>
      <w:numFmt w:val="upperLetter"/>
      <w:lvlText w:val="%1)"/>
      <w:lvlJc w:val="left"/>
      <w:pPr>
        <w:ind w:left="720" w:hanging="360"/>
      </w:pPr>
      <w:rPr>
        <w:rFonts w:asciiTheme="minorHAnsi" w:eastAsia="Times New Roman" w:hAnsiTheme="minorHAnsi"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724B2B"/>
    <w:multiLevelType w:val="hybridMultilevel"/>
    <w:tmpl w:val="F4A892D0"/>
    <w:lvl w:ilvl="0" w:tplc="703AC558">
      <w:start w:val="1"/>
      <w:numFmt w:val="decimal"/>
      <w:pStyle w:val="Heading2"/>
      <w:lvlText w:val="%1."/>
      <w:lvlJc w:val="left"/>
      <w:pPr>
        <w:ind w:left="360" w:hanging="360"/>
      </w:pPr>
      <w:rPr>
        <w:rFonts w:hint="default"/>
      </w:rPr>
    </w:lvl>
    <w:lvl w:ilvl="1" w:tplc="CB2AAB56">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2724B85"/>
    <w:multiLevelType w:val="hybridMultilevel"/>
    <w:tmpl w:val="F9109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915BC4"/>
    <w:multiLevelType w:val="hybridMultilevel"/>
    <w:tmpl w:val="95684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193F59"/>
    <w:multiLevelType w:val="hybridMultilevel"/>
    <w:tmpl w:val="191E1BBA"/>
    <w:lvl w:ilvl="0" w:tplc="E1DC4D56">
      <w:start w:val="1"/>
      <w:numFmt w:val="decimal"/>
      <w:lvlText w:val="%1."/>
      <w:lvlJc w:val="left"/>
      <w:pPr>
        <w:ind w:left="360" w:hanging="360"/>
      </w:pPr>
      <w:rPr>
        <w:rFonts w:cs="Helvetica"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7891465"/>
    <w:multiLevelType w:val="hybridMultilevel"/>
    <w:tmpl w:val="3DF0A4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C71101"/>
    <w:multiLevelType w:val="hybridMultilevel"/>
    <w:tmpl w:val="1D8E4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4191528"/>
    <w:multiLevelType w:val="hybridMultilevel"/>
    <w:tmpl w:val="34A88E16"/>
    <w:lvl w:ilvl="0" w:tplc="0F0A4010">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711699F"/>
    <w:multiLevelType w:val="hybridMultilevel"/>
    <w:tmpl w:val="EAC04C1C"/>
    <w:lvl w:ilvl="0" w:tplc="04B4BF1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4D68D2"/>
    <w:multiLevelType w:val="hybridMultilevel"/>
    <w:tmpl w:val="66A08698"/>
    <w:lvl w:ilvl="0" w:tplc="5E52EDC0">
      <w:start w:val="1"/>
      <w:numFmt w:val="decimal"/>
      <w:lvlText w:val="%1."/>
      <w:lvlJc w:val="left"/>
      <w:pPr>
        <w:ind w:left="720" w:hanging="360"/>
      </w:pPr>
      <w:rPr>
        <w:rFonts w:eastAsia="Times New Roman" w:hint="default"/>
        <w:color w:val="030A1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B114C2"/>
    <w:multiLevelType w:val="hybridMultilevel"/>
    <w:tmpl w:val="D16A4A2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C6295B"/>
    <w:multiLevelType w:val="hybridMultilevel"/>
    <w:tmpl w:val="B91AA536"/>
    <w:lvl w:ilvl="0" w:tplc="04090001">
      <w:start w:val="1"/>
      <w:numFmt w:val="bullet"/>
      <w:lvlText w:val=""/>
      <w:lvlJc w:val="left"/>
      <w:pPr>
        <w:ind w:left="720" w:hanging="360"/>
      </w:pPr>
      <w:rPr>
        <w:rFonts w:ascii="Symbol" w:hAnsi="Symbol" w:hint="default"/>
      </w:rPr>
    </w:lvl>
    <w:lvl w:ilvl="1" w:tplc="94669F26">
      <w:numFmt w:val="bullet"/>
      <w:lvlText w:val="-"/>
      <w:lvlJc w:val="left"/>
      <w:pPr>
        <w:ind w:left="1440" w:hanging="360"/>
      </w:pPr>
      <w:rPr>
        <w:rFonts w:ascii="Calibri" w:eastAsia="Times New Roman" w:hAnsi="Calibri"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335BE5"/>
    <w:multiLevelType w:val="hybridMultilevel"/>
    <w:tmpl w:val="C82CE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3503C3"/>
    <w:multiLevelType w:val="hybridMultilevel"/>
    <w:tmpl w:val="9F04C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DE4107"/>
    <w:multiLevelType w:val="hybridMultilevel"/>
    <w:tmpl w:val="ACDE6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0D205C"/>
    <w:multiLevelType w:val="hybridMultilevel"/>
    <w:tmpl w:val="404E3CE2"/>
    <w:lvl w:ilvl="0" w:tplc="04090001">
      <w:start w:val="1"/>
      <w:numFmt w:val="bullet"/>
      <w:lvlText w:val=""/>
      <w:lvlJc w:val="left"/>
      <w:pPr>
        <w:ind w:left="720" w:hanging="360"/>
      </w:pPr>
      <w:rPr>
        <w:rFonts w:ascii="Symbol" w:hAnsi="Symbol" w:hint="default"/>
      </w:rPr>
    </w:lvl>
    <w:lvl w:ilvl="1" w:tplc="0409001B">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707392"/>
    <w:multiLevelType w:val="hybridMultilevel"/>
    <w:tmpl w:val="C49E7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C7706F"/>
    <w:multiLevelType w:val="hybridMultilevel"/>
    <w:tmpl w:val="3B14F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6A1001"/>
    <w:multiLevelType w:val="hybridMultilevel"/>
    <w:tmpl w:val="6CB61B24"/>
    <w:lvl w:ilvl="0" w:tplc="260A93E6">
      <w:start w:val="1"/>
      <w:numFmt w:val="decimal"/>
      <w:lvlText w:val="%1."/>
      <w:lvlJc w:val="left"/>
      <w:pPr>
        <w:ind w:left="36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0A1474"/>
    <w:multiLevelType w:val="hybridMultilevel"/>
    <w:tmpl w:val="172C35E4"/>
    <w:lvl w:ilvl="0" w:tplc="556CA2E8">
      <w:start w:val="16"/>
      <w:numFmt w:val="decimal"/>
      <w:lvlText w:val="%1."/>
      <w:lvlJc w:val="left"/>
      <w:pPr>
        <w:ind w:left="360" w:hanging="360"/>
      </w:pPr>
      <w:rPr>
        <w:rFonts w:hint="default"/>
      </w:rPr>
    </w:lvl>
    <w:lvl w:ilvl="1" w:tplc="BB2C3374">
      <w:start w:val="1"/>
      <w:numFmt w:val="lowerRoman"/>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BE95D12"/>
    <w:multiLevelType w:val="hybridMultilevel"/>
    <w:tmpl w:val="61300A42"/>
    <w:lvl w:ilvl="0" w:tplc="F6AE3420">
      <w:start w:val="1"/>
      <w:numFmt w:val="decimal"/>
      <w:lvlText w:val="%1."/>
      <w:lvlJc w:val="left"/>
      <w:pPr>
        <w:ind w:left="360" w:hanging="360"/>
      </w:pPr>
      <w:rPr>
        <w:rFonts w:cs="Helvetica" w:hint="default"/>
        <w:b/>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FF2380E"/>
    <w:multiLevelType w:val="hybridMultilevel"/>
    <w:tmpl w:val="691A9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2A1407"/>
    <w:multiLevelType w:val="hybridMultilevel"/>
    <w:tmpl w:val="0568B5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1086556"/>
    <w:multiLevelType w:val="hybridMultilevel"/>
    <w:tmpl w:val="BE2041A8"/>
    <w:lvl w:ilvl="0" w:tplc="0F0A4010">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83B1305"/>
    <w:multiLevelType w:val="hybridMultilevel"/>
    <w:tmpl w:val="B83A17AC"/>
    <w:lvl w:ilvl="0" w:tplc="E1DC4D56">
      <w:start w:val="1"/>
      <w:numFmt w:val="decimal"/>
      <w:lvlText w:val="%1."/>
      <w:lvlJc w:val="left"/>
      <w:pPr>
        <w:ind w:left="360" w:hanging="360"/>
      </w:pPr>
      <w:rPr>
        <w:rFonts w:cs="Helvetica"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C25A8B"/>
    <w:multiLevelType w:val="hybridMultilevel"/>
    <w:tmpl w:val="87A40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C0E4431"/>
    <w:multiLevelType w:val="hybridMultilevel"/>
    <w:tmpl w:val="CEE6C7CC"/>
    <w:lvl w:ilvl="0" w:tplc="7986AD7C">
      <w:start w:val="1"/>
      <w:numFmt w:val="upperLetter"/>
      <w:lvlText w:val="%1)"/>
      <w:lvlJc w:val="left"/>
      <w:pPr>
        <w:ind w:left="720" w:hanging="360"/>
      </w:pPr>
      <w:rPr>
        <w:rFonts w:asciiTheme="minorHAnsi" w:eastAsia="Times New Roman" w:hAnsiTheme="minorHAnsi"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90432A"/>
    <w:multiLevelType w:val="hybridMultilevel"/>
    <w:tmpl w:val="A9B87680"/>
    <w:lvl w:ilvl="0" w:tplc="A3D000C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0C77EE2"/>
    <w:multiLevelType w:val="hybridMultilevel"/>
    <w:tmpl w:val="CFC65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B76457"/>
    <w:multiLevelType w:val="hybridMultilevel"/>
    <w:tmpl w:val="589CC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3C2FD3"/>
    <w:multiLevelType w:val="hybridMultilevel"/>
    <w:tmpl w:val="F620B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B967C3"/>
    <w:multiLevelType w:val="hybridMultilevel"/>
    <w:tmpl w:val="D376CD82"/>
    <w:lvl w:ilvl="0" w:tplc="9DEA9DD0">
      <w:start w:val="1"/>
      <w:numFmt w:val="decimal"/>
      <w:lvlText w:val="%1."/>
      <w:lvlJc w:val="left"/>
      <w:pPr>
        <w:ind w:left="360" w:hanging="360"/>
      </w:pPr>
      <w:rPr>
        <w:b/>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A29731D"/>
    <w:multiLevelType w:val="hybridMultilevel"/>
    <w:tmpl w:val="CEE6C7CC"/>
    <w:lvl w:ilvl="0" w:tplc="7986AD7C">
      <w:start w:val="1"/>
      <w:numFmt w:val="upperLetter"/>
      <w:lvlText w:val="%1)"/>
      <w:lvlJc w:val="left"/>
      <w:pPr>
        <w:ind w:left="720" w:hanging="360"/>
      </w:pPr>
      <w:rPr>
        <w:rFonts w:asciiTheme="minorHAnsi" w:eastAsia="Times New Roman" w:hAnsiTheme="minorHAnsi"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89193D"/>
    <w:multiLevelType w:val="hybridMultilevel"/>
    <w:tmpl w:val="D6A4D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082309"/>
    <w:multiLevelType w:val="hybridMultilevel"/>
    <w:tmpl w:val="8A568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810C21"/>
    <w:multiLevelType w:val="hybridMultilevel"/>
    <w:tmpl w:val="CEE6C7CC"/>
    <w:lvl w:ilvl="0" w:tplc="7986AD7C">
      <w:start w:val="1"/>
      <w:numFmt w:val="upperLetter"/>
      <w:lvlText w:val="%1)"/>
      <w:lvlJc w:val="left"/>
      <w:pPr>
        <w:ind w:left="720" w:hanging="360"/>
      </w:pPr>
      <w:rPr>
        <w:rFonts w:asciiTheme="minorHAnsi" w:eastAsia="Times New Roman" w:hAnsiTheme="minorHAnsi"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0287817"/>
    <w:multiLevelType w:val="hybridMultilevel"/>
    <w:tmpl w:val="53984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932D31"/>
    <w:multiLevelType w:val="hybridMultilevel"/>
    <w:tmpl w:val="866E9CA0"/>
    <w:lvl w:ilvl="0" w:tplc="0F0A4010">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5"/>
  </w:num>
  <w:num w:numId="3">
    <w:abstractNumId w:val="39"/>
  </w:num>
  <w:num w:numId="4">
    <w:abstractNumId w:val="16"/>
  </w:num>
  <w:num w:numId="5">
    <w:abstractNumId w:val="17"/>
  </w:num>
  <w:num w:numId="6">
    <w:abstractNumId w:val="12"/>
  </w:num>
  <w:num w:numId="7">
    <w:abstractNumId w:val="19"/>
  </w:num>
  <w:num w:numId="8">
    <w:abstractNumId w:val="13"/>
  </w:num>
  <w:num w:numId="9">
    <w:abstractNumId w:val="2"/>
  </w:num>
  <w:num w:numId="10">
    <w:abstractNumId w:val="11"/>
  </w:num>
  <w:num w:numId="11">
    <w:abstractNumId w:val="38"/>
  </w:num>
  <w:num w:numId="12">
    <w:abstractNumId w:val="29"/>
  </w:num>
  <w:num w:numId="13">
    <w:abstractNumId w:val="3"/>
  </w:num>
  <w:num w:numId="14">
    <w:abstractNumId w:val="35"/>
  </w:num>
  <w:num w:numId="15">
    <w:abstractNumId w:val="31"/>
  </w:num>
  <w:num w:numId="16">
    <w:abstractNumId w:val="20"/>
  </w:num>
  <w:num w:numId="17">
    <w:abstractNumId w:val="15"/>
  </w:num>
  <w:num w:numId="18">
    <w:abstractNumId w:val="14"/>
  </w:num>
  <w:num w:numId="19">
    <w:abstractNumId w:val="6"/>
  </w:num>
  <w:num w:numId="20">
    <w:abstractNumId w:val="24"/>
  </w:num>
  <w:num w:numId="21">
    <w:abstractNumId w:val="1"/>
  </w:num>
  <w:num w:numId="22">
    <w:abstractNumId w:val="33"/>
  </w:num>
  <w:num w:numId="23">
    <w:abstractNumId w:val="34"/>
  </w:num>
  <w:num w:numId="24">
    <w:abstractNumId w:val="21"/>
  </w:num>
  <w:num w:numId="25">
    <w:abstractNumId w:val="28"/>
  </w:num>
  <w:num w:numId="26">
    <w:abstractNumId w:val="30"/>
  </w:num>
  <w:num w:numId="27">
    <w:abstractNumId w:val="10"/>
  </w:num>
  <w:num w:numId="28">
    <w:abstractNumId w:val="23"/>
  </w:num>
  <w:num w:numId="29">
    <w:abstractNumId w:val="7"/>
  </w:num>
  <w:num w:numId="30">
    <w:abstractNumId w:val="27"/>
  </w:num>
  <w:num w:numId="31">
    <w:abstractNumId w:val="22"/>
  </w:num>
  <w:num w:numId="32">
    <w:abstractNumId w:val="8"/>
  </w:num>
  <w:num w:numId="33">
    <w:abstractNumId w:val="32"/>
  </w:num>
  <w:num w:numId="34">
    <w:abstractNumId w:val="40"/>
  </w:num>
  <w:num w:numId="35">
    <w:abstractNumId w:val="26"/>
  </w:num>
  <w:num w:numId="3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5"/>
  </w:num>
  <w:num w:numId="38">
    <w:abstractNumId w:val="9"/>
  </w:num>
  <w:num w:numId="39">
    <w:abstractNumId w:val="36"/>
  </w:num>
  <w:num w:numId="40">
    <w:abstractNumId w:val="0"/>
  </w:num>
  <w:num w:numId="41">
    <w:abstractNumId w:val="18"/>
  </w:num>
  <w:num w:numId="42">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274"/>
    <w:rsid w:val="0000203E"/>
    <w:rsid w:val="000039D0"/>
    <w:rsid w:val="0000759A"/>
    <w:rsid w:val="00016E78"/>
    <w:rsid w:val="00016F84"/>
    <w:rsid w:val="00031B0D"/>
    <w:rsid w:val="000538CD"/>
    <w:rsid w:val="0006293C"/>
    <w:rsid w:val="000656E9"/>
    <w:rsid w:val="0006633A"/>
    <w:rsid w:val="000733A1"/>
    <w:rsid w:val="00080ECD"/>
    <w:rsid w:val="000920E1"/>
    <w:rsid w:val="000A07D6"/>
    <w:rsid w:val="000B1436"/>
    <w:rsid w:val="000B3360"/>
    <w:rsid w:val="000D4B6D"/>
    <w:rsid w:val="00130781"/>
    <w:rsid w:val="0014185C"/>
    <w:rsid w:val="00173516"/>
    <w:rsid w:val="001736A6"/>
    <w:rsid w:val="001751FD"/>
    <w:rsid w:val="0018382D"/>
    <w:rsid w:val="001849AC"/>
    <w:rsid w:val="00186E2C"/>
    <w:rsid w:val="001937A4"/>
    <w:rsid w:val="00196161"/>
    <w:rsid w:val="001A50DA"/>
    <w:rsid w:val="001B01FF"/>
    <w:rsid w:val="001F42AD"/>
    <w:rsid w:val="00207E57"/>
    <w:rsid w:val="0021011F"/>
    <w:rsid w:val="002266AA"/>
    <w:rsid w:val="00230E9B"/>
    <w:rsid w:val="0023349D"/>
    <w:rsid w:val="00244A60"/>
    <w:rsid w:val="002457F2"/>
    <w:rsid w:val="00274199"/>
    <w:rsid w:val="002B311A"/>
    <w:rsid w:val="002D0607"/>
    <w:rsid w:val="002D1367"/>
    <w:rsid w:val="002D2274"/>
    <w:rsid w:val="002D7622"/>
    <w:rsid w:val="002E1D25"/>
    <w:rsid w:val="003429EB"/>
    <w:rsid w:val="0034481D"/>
    <w:rsid w:val="003454BF"/>
    <w:rsid w:val="00365E68"/>
    <w:rsid w:val="00380EFE"/>
    <w:rsid w:val="00382671"/>
    <w:rsid w:val="00386457"/>
    <w:rsid w:val="0038763A"/>
    <w:rsid w:val="00390B6F"/>
    <w:rsid w:val="003C22F7"/>
    <w:rsid w:val="003D4995"/>
    <w:rsid w:val="0040509E"/>
    <w:rsid w:val="0044200F"/>
    <w:rsid w:val="004614D7"/>
    <w:rsid w:val="00473ADF"/>
    <w:rsid w:val="004803BD"/>
    <w:rsid w:val="00483F2C"/>
    <w:rsid w:val="004C7C3C"/>
    <w:rsid w:val="004D6903"/>
    <w:rsid w:val="004F0C9E"/>
    <w:rsid w:val="004F6842"/>
    <w:rsid w:val="00514D1C"/>
    <w:rsid w:val="00517839"/>
    <w:rsid w:val="005450D3"/>
    <w:rsid w:val="005511C1"/>
    <w:rsid w:val="005545FD"/>
    <w:rsid w:val="00564351"/>
    <w:rsid w:val="005700DA"/>
    <w:rsid w:val="00591842"/>
    <w:rsid w:val="00592BF6"/>
    <w:rsid w:val="005A3C02"/>
    <w:rsid w:val="005F392C"/>
    <w:rsid w:val="005F6144"/>
    <w:rsid w:val="0061201C"/>
    <w:rsid w:val="00651D83"/>
    <w:rsid w:val="00663CE5"/>
    <w:rsid w:val="00696B92"/>
    <w:rsid w:val="006A46CD"/>
    <w:rsid w:val="006B662D"/>
    <w:rsid w:val="006C07E2"/>
    <w:rsid w:val="006D13EA"/>
    <w:rsid w:val="006E0EE9"/>
    <w:rsid w:val="0071483C"/>
    <w:rsid w:val="00715CFA"/>
    <w:rsid w:val="0073614B"/>
    <w:rsid w:val="00740FC5"/>
    <w:rsid w:val="00753192"/>
    <w:rsid w:val="007921EE"/>
    <w:rsid w:val="00796CFA"/>
    <w:rsid w:val="008017D0"/>
    <w:rsid w:val="00812635"/>
    <w:rsid w:val="00813CE5"/>
    <w:rsid w:val="00823B82"/>
    <w:rsid w:val="0086182D"/>
    <w:rsid w:val="00871C8A"/>
    <w:rsid w:val="00877B23"/>
    <w:rsid w:val="00892293"/>
    <w:rsid w:val="0089291C"/>
    <w:rsid w:val="008B1225"/>
    <w:rsid w:val="00912798"/>
    <w:rsid w:val="0092343B"/>
    <w:rsid w:val="009463C6"/>
    <w:rsid w:val="00960691"/>
    <w:rsid w:val="00993129"/>
    <w:rsid w:val="009A33D5"/>
    <w:rsid w:val="009A70DA"/>
    <w:rsid w:val="009B2029"/>
    <w:rsid w:val="009F32D3"/>
    <w:rsid w:val="00A46562"/>
    <w:rsid w:val="00A474F3"/>
    <w:rsid w:val="00A56397"/>
    <w:rsid w:val="00A712DD"/>
    <w:rsid w:val="00A84B37"/>
    <w:rsid w:val="00A90372"/>
    <w:rsid w:val="00A9132C"/>
    <w:rsid w:val="00AB58F4"/>
    <w:rsid w:val="00AD2AC1"/>
    <w:rsid w:val="00AD54A6"/>
    <w:rsid w:val="00AE0D98"/>
    <w:rsid w:val="00AE1D86"/>
    <w:rsid w:val="00AE5376"/>
    <w:rsid w:val="00AF4E0C"/>
    <w:rsid w:val="00AF7053"/>
    <w:rsid w:val="00B21BCB"/>
    <w:rsid w:val="00B22086"/>
    <w:rsid w:val="00B30FE3"/>
    <w:rsid w:val="00B37A53"/>
    <w:rsid w:val="00B70561"/>
    <w:rsid w:val="00B70579"/>
    <w:rsid w:val="00B76858"/>
    <w:rsid w:val="00BF171C"/>
    <w:rsid w:val="00C06D88"/>
    <w:rsid w:val="00C12FCC"/>
    <w:rsid w:val="00C24C5D"/>
    <w:rsid w:val="00C30B6F"/>
    <w:rsid w:val="00C37781"/>
    <w:rsid w:val="00C4718D"/>
    <w:rsid w:val="00C862F8"/>
    <w:rsid w:val="00C90904"/>
    <w:rsid w:val="00CA2DA4"/>
    <w:rsid w:val="00CA3638"/>
    <w:rsid w:val="00CC7A58"/>
    <w:rsid w:val="00D03B6D"/>
    <w:rsid w:val="00D042F0"/>
    <w:rsid w:val="00D42544"/>
    <w:rsid w:val="00D4742E"/>
    <w:rsid w:val="00D47744"/>
    <w:rsid w:val="00D5784A"/>
    <w:rsid w:val="00D60355"/>
    <w:rsid w:val="00D73B4D"/>
    <w:rsid w:val="00D740E1"/>
    <w:rsid w:val="00D801D0"/>
    <w:rsid w:val="00DA32D3"/>
    <w:rsid w:val="00DB185A"/>
    <w:rsid w:val="00DC476F"/>
    <w:rsid w:val="00DE041B"/>
    <w:rsid w:val="00E010CC"/>
    <w:rsid w:val="00E43887"/>
    <w:rsid w:val="00E642BD"/>
    <w:rsid w:val="00E949AE"/>
    <w:rsid w:val="00E94E46"/>
    <w:rsid w:val="00EA218B"/>
    <w:rsid w:val="00EA7882"/>
    <w:rsid w:val="00ED26AA"/>
    <w:rsid w:val="00ED4F4B"/>
    <w:rsid w:val="00EF636A"/>
    <w:rsid w:val="00F52484"/>
    <w:rsid w:val="00F63A73"/>
    <w:rsid w:val="00F64075"/>
    <w:rsid w:val="00F6649B"/>
    <w:rsid w:val="00FA3100"/>
    <w:rsid w:val="00FD0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FEB7"/>
  <w15:docId w15:val="{A5CF2BA0-9597-4FC7-9295-1525E1576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2274"/>
    <w:pPr>
      <w:spacing w:line="240" w:lineRule="auto"/>
    </w:pPr>
  </w:style>
  <w:style w:type="paragraph" w:styleId="Heading1">
    <w:name w:val="heading 1"/>
    <w:basedOn w:val="Heading2"/>
    <w:next w:val="Normal"/>
    <w:link w:val="Heading1Char"/>
    <w:uiPriority w:val="9"/>
    <w:qFormat/>
    <w:rsid w:val="002D2274"/>
    <w:pPr>
      <w:numPr>
        <w:numId w:val="0"/>
      </w:numPr>
      <w:ind w:left="360" w:hanging="360"/>
      <w:outlineLvl w:val="0"/>
    </w:pPr>
    <w:rPr>
      <w:bCs w:val="0"/>
      <w:sz w:val="28"/>
    </w:rPr>
  </w:style>
  <w:style w:type="paragraph" w:styleId="Heading2">
    <w:name w:val="heading 2"/>
    <w:basedOn w:val="ListParagraph"/>
    <w:next w:val="Normal"/>
    <w:link w:val="Heading2Char"/>
    <w:uiPriority w:val="9"/>
    <w:unhideWhenUsed/>
    <w:qFormat/>
    <w:rsid w:val="002D2274"/>
    <w:pPr>
      <w:numPr>
        <w:numId w:val="1"/>
      </w:numPr>
      <w:outlineLvl w:val="1"/>
    </w:pPr>
    <w:rPr>
      <w:b/>
      <w:bCs/>
    </w:rPr>
  </w:style>
  <w:style w:type="paragraph" w:styleId="Heading3">
    <w:name w:val="heading 3"/>
    <w:basedOn w:val="Normal"/>
    <w:next w:val="Normal"/>
    <w:link w:val="Heading3Char"/>
    <w:uiPriority w:val="9"/>
    <w:unhideWhenUsed/>
    <w:qFormat/>
    <w:rsid w:val="002D2274"/>
    <w:pPr>
      <w:jc w:val="center"/>
      <w:outlineLvl w:val="2"/>
    </w:pPr>
    <w:rPr>
      <w:b/>
      <w:sz w:val="32"/>
      <w:szCs w:val="32"/>
    </w:rPr>
  </w:style>
  <w:style w:type="paragraph" w:styleId="Heading4">
    <w:name w:val="heading 4"/>
    <w:basedOn w:val="Normal"/>
    <w:next w:val="Normal"/>
    <w:link w:val="Heading4Char"/>
    <w:uiPriority w:val="9"/>
    <w:semiHidden/>
    <w:unhideWhenUsed/>
    <w:qFormat/>
    <w:rsid w:val="002D227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9">
    <w:name w:val="heading 9"/>
    <w:basedOn w:val="Normal"/>
    <w:next w:val="Normal"/>
    <w:link w:val="Heading9Char"/>
    <w:uiPriority w:val="9"/>
    <w:unhideWhenUsed/>
    <w:qFormat/>
    <w:rsid w:val="002D227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2274"/>
    <w:pPr>
      <w:jc w:val="center"/>
    </w:pPr>
    <w:rPr>
      <w:b/>
      <w:sz w:val="32"/>
    </w:rPr>
  </w:style>
  <w:style w:type="character" w:customStyle="1" w:styleId="TitleChar">
    <w:name w:val="Title Char"/>
    <w:basedOn w:val="DefaultParagraphFont"/>
    <w:link w:val="Title"/>
    <w:uiPriority w:val="10"/>
    <w:rsid w:val="002D2274"/>
    <w:rPr>
      <w:b/>
      <w:sz w:val="32"/>
    </w:rPr>
  </w:style>
  <w:style w:type="character" w:customStyle="1" w:styleId="Heading1Char">
    <w:name w:val="Heading 1 Char"/>
    <w:basedOn w:val="DefaultParagraphFont"/>
    <w:link w:val="Heading1"/>
    <w:uiPriority w:val="9"/>
    <w:rsid w:val="002D2274"/>
    <w:rPr>
      <w:b/>
      <w:sz w:val="28"/>
    </w:rPr>
  </w:style>
  <w:style w:type="character" w:customStyle="1" w:styleId="Heading2Char">
    <w:name w:val="Heading 2 Char"/>
    <w:basedOn w:val="DefaultParagraphFont"/>
    <w:link w:val="Heading2"/>
    <w:uiPriority w:val="9"/>
    <w:rsid w:val="002D2274"/>
    <w:rPr>
      <w:b/>
      <w:bCs/>
    </w:rPr>
  </w:style>
  <w:style w:type="paragraph" w:styleId="ListParagraph">
    <w:name w:val="List Paragraph"/>
    <w:basedOn w:val="Normal"/>
    <w:uiPriority w:val="34"/>
    <w:qFormat/>
    <w:rsid w:val="002D2274"/>
    <w:pPr>
      <w:ind w:left="720"/>
      <w:contextualSpacing/>
    </w:pPr>
  </w:style>
  <w:style w:type="paragraph" w:styleId="FootnoteText">
    <w:name w:val="footnote text"/>
    <w:basedOn w:val="Normal"/>
    <w:link w:val="FootnoteTextChar"/>
    <w:uiPriority w:val="99"/>
    <w:unhideWhenUsed/>
    <w:rsid w:val="002D2274"/>
    <w:pPr>
      <w:spacing w:after="0"/>
    </w:pPr>
    <w:rPr>
      <w:sz w:val="20"/>
      <w:szCs w:val="20"/>
    </w:rPr>
  </w:style>
  <w:style w:type="character" w:customStyle="1" w:styleId="FootnoteTextChar">
    <w:name w:val="Footnote Text Char"/>
    <w:basedOn w:val="DefaultParagraphFont"/>
    <w:link w:val="FootnoteText"/>
    <w:uiPriority w:val="99"/>
    <w:rsid w:val="002D2274"/>
    <w:rPr>
      <w:sz w:val="20"/>
      <w:szCs w:val="20"/>
    </w:rPr>
  </w:style>
  <w:style w:type="character" w:styleId="FootnoteReference">
    <w:name w:val="footnote reference"/>
    <w:basedOn w:val="DefaultParagraphFont"/>
    <w:uiPriority w:val="99"/>
    <w:semiHidden/>
    <w:unhideWhenUsed/>
    <w:rsid w:val="002D2274"/>
    <w:rPr>
      <w:vertAlign w:val="superscript"/>
    </w:rPr>
  </w:style>
  <w:style w:type="character" w:styleId="Hyperlink">
    <w:name w:val="Hyperlink"/>
    <w:basedOn w:val="DefaultParagraphFont"/>
    <w:uiPriority w:val="99"/>
    <w:unhideWhenUsed/>
    <w:rsid w:val="002D2274"/>
    <w:rPr>
      <w:color w:val="0000FF" w:themeColor="hyperlink"/>
      <w:u w:val="single"/>
    </w:rPr>
  </w:style>
  <w:style w:type="paragraph" w:styleId="Header">
    <w:name w:val="header"/>
    <w:basedOn w:val="Normal"/>
    <w:link w:val="HeaderChar"/>
    <w:uiPriority w:val="99"/>
    <w:unhideWhenUsed/>
    <w:rsid w:val="002D2274"/>
    <w:pPr>
      <w:tabs>
        <w:tab w:val="center" w:pos="4680"/>
        <w:tab w:val="right" w:pos="9360"/>
      </w:tabs>
      <w:spacing w:after="0"/>
    </w:pPr>
  </w:style>
  <w:style w:type="character" w:customStyle="1" w:styleId="HeaderChar">
    <w:name w:val="Header Char"/>
    <w:basedOn w:val="DefaultParagraphFont"/>
    <w:link w:val="Header"/>
    <w:uiPriority w:val="99"/>
    <w:rsid w:val="002D2274"/>
  </w:style>
  <w:style w:type="paragraph" w:styleId="Footer">
    <w:name w:val="footer"/>
    <w:basedOn w:val="Normal"/>
    <w:link w:val="FooterChar"/>
    <w:uiPriority w:val="99"/>
    <w:unhideWhenUsed/>
    <w:rsid w:val="002D2274"/>
    <w:pPr>
      <w:tabs>
        <w:tab w:val="center" w:pos="4680"/>
        <w:tab w:val="right" w:pos="9360"/>
      </w:tabs>
      <w:spacing w:after="0"/>
    </w:pPr>
  </w:style>
  <w:style w:type="character" w:customStyle="1" w:styleId="FooterChar">
    <w:name w:val="Footer Char"/>
    <w:basedOn w:val="DefaultParagraphFont"/>
    <w:link w:val="Footer"/>
    <w:uiPriority w:val="99"/>
    <w:rsid w:val="002D2274"/>
  </w:style>
  <w:style w:type="character" w:customStyle="1" w:styleId="Heading3Char">
    <w:name w:val="Heading 3 Char"/>
    <w:basedOn w:val="DefaultParagraphFont"/>
    <w:link w:val="Heading3"/>
    <w:uiPriority w:val="9"/>
    <w:rsid w:val="002D2274"/>
    <w:rPr>
      <w:b/>
      <w:sz w:val="32"/>
      <w:szCs w:val="32"/>
    </w:rPr>
  </w:style>
  <w:style w:type="character" w:customStyle="1" w:styleId="Heading4Char">
    <w:name w:val="Heading 4 Char"/>
    <w:basedOn w:val="DefaultParagraphFont"/>
    <w:link w:val="Heading4"/>
    <w:uiPriority w:val="9"/>
    <w:semiHidden/>
    <w:rsid w:val="002D2274"/>
    <w:rPr>
      <w:rFonts w:asciiTheme="majorHAnsi" w:eastAsiaTheme="majorEastAsia" w:hAnsiTheme="majorHAnsi" w:cstheme="majorBidi"/>
      <w:b/>
      <w:bCs/>
      <w:i/>
      <w:iCs/>
      <w:color w:val="4F81BD" w:themeColor="accent1"/>
    </w:rPr>
  </w:style>
  <w:style w:type="character" w:customStyle="1" w:styleId="Heading9Char">
    <w:name w:val="Heading 9 Char"/>
    <w:basedOn w:val="DefaultParagraphFont"/>
    <w:link w:val="Heading9"/>
    <w:uiPriority w:val="9"/>
    <w:rsid w:val="002D2274"/>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2D227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2274"/>
    <w:rPr>
      <w:rFonts w:ascii="Tahoma" w:hAnsi="Tahoma" w:cs="Tahoma"/>
      <w:sz w:val="16"/>
      <w:szCs w:val="16"/>
    </w:rPr>
  </w:style>
  <w:style w:type="character" w:styleId="CommentReference">
    <w:name w:val="annotation reference"/>
    <w:basedOn w:val="DefaultParagraphFont"/>
    <w:uiPriority w:val="99"/>
    <w:semiHidden/>
    <w:unhideWhenUsed/>
    <w:rsid w:val="002D2274"/>
    <w:rPr>
      <w:sz w:val="16"/>
      <w:szCs w:val="16"/>
    </w:rPr>
  </w:style>
  <w:style w:type="paragraph" w:styleId="CommentText">
    <w:name w:val="annotation text"/>
    <w:basedOn w:val="Normal"/>
    <w:link w:val="CommentTextChar"/>
    <w:uiPriority w:val="99"/>
    <w:unhideWhenUsed/>
    <w:rsid w:val="002D2274"/>
    <w:rPr>
      <w:sz w:val="20"/>
      <w:szCs w:val="20"/>
    </w:rPr>
  </w:style>
  <w:style w:type="character" w:customStyle="1" w:styleId="CommentTextChar">
    <w:name w:val="Comment Text Char"/>
    <w:basedOn w:val="DefaultParagraphFont"/>
    <w:link w:val="CommentText"/>
    <w:uiPriority w:val="99"/>
    <w:rsid w:val="002D2274"/>
    <w:rPr>
      <w:sz w:val="20"/>
      <w:szCs w:val="20"/>
    </w:rPr>
  </w:style>
  <w:style w:type="paragraph" w:styleId="CommentSubject">
    <w:name w:val="annotation subject"/>
    <w:basedOn w:val="CommentText"/>
    <w:next w:val="CommentText"/>
    <w:link w:val="CommentSubjectChar"/>
    <w:uiPriority w:val="99"/>
    <w:semiHidden/>
    <w:unhideWhenUsed/>
    <w:rsid w:val="002D2274"/>
    <w:rPr>
      <w:b/>
      <w:bCs/>
    </w:rPr>
  </w:style>
  <w:style w:type="character" w:customStyle="1" w:styleId="CommentSubjectChar">
    <w:name w:val="Comment Subject Char"/>
    <w:basedOn w:val="CommentTextChar"/>
    <w:link w:val="CommentSubject"/>
    <w:uiPriority w:val="99"/>
    <w:semiHidden/>
    <w:rsid w:val="002D2274"/>
    <w:rPr>
      <w:b/>
      <w:bCs/>
      <w:sz w:val="20"/>
      <w:szCs w:val="20"/>
    </w:rPr>
  </w:style>
  <w:style w:type="paragraph" w:styleId="Revision">
    <w:name w:val="Revision"/>
    <w:hidden/>
    <w:uiPriority w:val="99"/>
    <w:semiHidden/>
    <w:rsid w:val="002D2274"/>
    <w:pPr>
      <w:spacing w:after="0" w:line="240" w:lineRule="auto"/>
    </w:pPr>
  </w:style>
  <w:style w:type="paragraph" w:styleId="NoSpacing">
    <w:name w:val="No Spacing"/>
    <w:uiPriority w:val="1"/>
    <w:qFormat/>
    <w:rsid w:val="002D2274"/>
    <w:pPr>
      <w:spacing w:after="0" w:line="240" w:lineRule="auto"/>
    </w:pPr>
  </w:style>
  <w:style w:type="character" w:styleId="FollowedHyperlink">
    <w:name w:val="FollowedHyperlink"/>
    <w:basedOn w:val="DefaultParagraphFont"/>
    <w:uiPriority w:val="99"/>
    <w:semiHidden/>
    <w:unhideWhenUsed/>
    <w:rsid w:val="002D2274"/>
    <w:rPr>
      <w:color w:val="800080" w:themeColor="followedHyperlink"/>
      <w:u w:val="single"/>
    </w:rPr>
  </w:style>
  <w:style w:type="paragraph" w:styleId="HTMLPreformatted">
    <w:name w:val="HTML Preformatted"/>
    <w:basedOn w:val="Normal"/>
    <w:link w:val="HTMLPreformattedChar"/>
    <w:uiPriority w:val="99"/>
    <w:unhideWhenUsed/>
    <w:rsid w:val="002D2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D2274"/>
    <w:rPr>
      <w:rFonts w:ascii="Courier New" w:eastAsia="Times New Roman" w:hAnsi="Courier New" w:cs="Courier New"/>
      <w:sz w:val="20"/>
      <w:szCs w:val="20"/>
    </w:rPr>
  </w:style>
  <w:style w:type="paragraph" w:customStyle="1" w:styleId="LightGrid-Accent31">
    <w:name w:val="Light Grid - Accent 31"/>
    <w:basedOn w:val="Normal"/>
    <w:uiPriority w:val="34"/>
    <w:rsid w:val="002D2274"/>
    <w:pPr>
      <w:autoSpaceDE w:val="0"/>
      <w:autoSpaceDN w:val="0"/>
      <w:adjustRightInd w:val="0"/>
      <w:spacing w:after="240" w:line="23" w:lineRule="atLeast"/>
      <w:ind w:left="720" w:firstLine="720"/>
    </w:pPr>
    <w:rPr>
      <w:rFonts w:ascii="Times New Roman" w:eastAsia="Times New Roman" w:hAnsi="Times New Roman" w:cs="Times New Roman"/>
      <w:sz w:val="24"/>
    </w:rPr>
  </w:style>
  <w:style w:type="paragraph" w:customStyle="1" w:styleId="TOCHeading1">
    <w:name w:val="TOC Heading1"/>
    <w:basedOn w:val="Heading1"/>
    <w:next w:val="Normal"/>
    <w:uiPriority w:val="39"/>
    <w:unhideWhenUsed/>
    <w:qFormat/>
    <w:rsid w:val="002D2274"/>
    <w:pPr>
      <w:keepNext/>
      <w:autoSpaceDE w:val="0"/>
      <w:autoSpaceDN w:val="0"/>
      <w:adjustRightInd w:val="0"/>
      <w:spacing w:before="480" w:after="240" w:line="23" w:lineRule="atLeast"/>
      <w:ind w:left="1440" w:hanging="720"/>
      <w:outlineLvl w:val="9"/>
    </w:pPr>
    <w:rPr>
      <w:rFonts w:ascii="Cambria" w:eastAsia="Times New Roman" w:hAnsi="Cambria" w:cs="Times New Roman"/>
      <w:bCs/>
      <w:sz w:val="24"/>
      <w:szCs w:val="24"/>
      <w:u w:val="single"/>
      <w:lang w:val="x-none" w:eastAsia="x-none" w:bidi="en-US"/>
    </w:rPr>
  </w:style>
  <w:style w:type="paragraph" w:styleId="TOCHeading">
    <w:name w:val="TOC Heading"/>
    <w:basedOn w:val="Heading1"/>
    <w:next w:val="Normal"/>
    <w:uiPriority w:val="39"/>
    <w:unhideWhenUsed/>
    <w:qFormat/>
    <w:rsid w:val="002D2274"/>
    <w:pPr>
      <w:keepNext/>
      <w:keepLines/>
      <w:spacing w:before="480" w:after="0"/>
      <w:ind w:left="0" w:firstLine="0"/>
      <w:contextualSpacing w:val="0"/>
      <w:outlineLvl w:val="9"/>
    </w:pPr>
    <w:rPr>
      <w:rFonts w:asciiTheme="majorHAnsi" w:eastAsiaTheme="majorEastAsia" w:hAnsiTheme="majorHAnsi" w:cstheme="majorBidi"/>
      <w:bCs/>
      <w:color w:val="365F91" w:themeColor="accent1" w:themeShade="BF"/>
      <w:szCs w:val="28"/>
      <w:lang w:eastAsia="ja-JP"/>
    </w:rPr>
  </w:style>
  <w:style w:type="paragraph" w:styleId="TOC1">
    <w:name w:val="toc 1"/>
    <w:basedOn w:val="Normal"/>
    <w:next w:val="Normal"/>
    <w:autoRedefine/>
    <w:uiPriority w:val="39"/>
    <w:unhideWhenUsed/>
    <w:rsid w:val="002D2274"/>
    <w:pPr>
      <w:spacing w:after="100"/>
    </w:pPr>
  </w:style>
  <w:style w:type="paragraph" w:styleId="TOC2">
    <w:name w:val="toc 2"/>
    <w:basedOn w:val="Normal"/>
    <w:next w:val="Normal"/>
    <w:autoRedefine/>
    <w:uiPriority w:val="39"/>
    <w:unhideWhenUsed/>
    <w:rsid w:val="002D2274"/>
    <w:pPr>
      <w:tabs>
        <w:tab w:val="left" w:pos="630"/>
        <w:tab w:val="right" w:leader="dot" w:pos="9350"/>
      </w:tabs>
      <w:spacing w:after="100"/>
      <w:ind w:left="220"/>
    </w:pPr>
  </w:style>
  <w:style w:type="paragraph" w:customStyle="1" w:styleId="statutory-body-1em">
    <w:name w:val="statutory-body-1em"/>
    <w:basedOn w:val="Normal"/>
    <w:rsid w:val="002D2274"/>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innovation.ed.gov/what-we-do/teacher-quality/teacher-quality-partnership/"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ies.ed.gov/ncee/wwc/FWW"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ecfr.gov/cgi-bin/text-idx?SID=7d8cee13efa0f4646222259651e77aea&amp;mc=true&amp;node=se34.1.75_1135&amp;rgn=div8"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census.gov/programs-surveys/saipe.html" TargetMode="External"/><Relationship Id="rId5" Type="http://schemas.openxmlformats.org/officeDocument/2006/relationships/numbering" Target="numbering.xml"/><Relationship Id="rId15" Type="http://schemas.openxmlformats.org/officeDocument/2006/relationships/hyperlink" Target="mailto:IndirectCostGroup@ed.gov"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innovation.ed.gov/what-we-do/teacher-quality/teacher-quality-partnership/"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mailto:TQPartnership@ed.gov" TargetMode="External"/><Relationship Id="rId1" Type="http://schemas.openxmlformats.org/officeDocument/2006/relationships/hyperlink" Target="http://innovation.ed.gov/what-we-do/teacher-quality/teacher-quality-partnersh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905E9B17257344A422F0EB5D5A7C38" ma:contentTypeVersion="11" ma:contentTypeDescription="Create a new document." ma:contentTypeScope="" ma:versionID="2730af6b36635e63ddd8c6dd84d7783a">
  <xsd:schema xmlns:xsd="http://www.w3.org/2001/XMLSchema" xmlns:xs="http://www.w3.org/2001/XMLSchema" xmlns:p="http://schemas.microsoft.com/office/2006/metadata/properties" xmlns:ns2="6ed4f710-a888-49b6-a3ba-a65a9384835f" xmlns:ns3="ffcb171c-5eb6-4b7e-bff7-850b4441ed9e" targetNamespace="http://schemas.microsoft.com/office/2006/metadata/properties" ma:root="true" ma:fieldsID="144d900af939934cdc7e9345cf8a24f0" ns2:_="" ns3:_="">
    <xsd:import namespace="6ed4f710-a888-49b6-a3ba-a65a9384835f"/>
    <xsd:import namespace="ffcb171c-5eb6-4b7e-bff7-850b4441ed9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Location" minOccurs="0"/>
                <xsd:element ref="ns3:SharedWithUsers" minOccurs="0"/>
                <xsd:element ref="ns3:SharedWithDetails" minOccurs="0"/>
                <xsd:element ref="ns2:MediaServiceAutoTags" minOccurs="0"/>
                <xsd:element ref="ns2:MediaServiceOCR" minOccurs="0"/>
                <xsd:element ref="ns2:Date"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d4f710-a888-49b6-a3ba-a65a9384835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Location" ma:index="11" nillable="true" ma:displayName="MediaServiceLocation" ma:description="" ma:internalName="MediaServiceLocatio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Date" ma:index="16" nillable="true" ma:displayName="Date" ma:format="DateTime" ma:internalName="Date">
      <xsd:simpleType>
        <xsd:restriction base="dms:DateTime"/>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fcb171c-5eb6-4b7e-bff7-850b4441ed9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ate xmlns="6ed4f710-a888-49b6-a3ba-a65a9384835f"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1A6466-6058-4F16-B1B4-89B6D97B79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d4f710-a888-49b6-a3ba-a65a9384835f"/>
    <ds:schemaRef ds:uri="ffcb171c-5eb6-4b7e-bff7-850b4441ed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1E95A57-B80C-4597-BCF9-87F9ADE3AFE8}">
  <ds:schemaRefs>
    <ds:schemaRef ds:uri="http://schemas.microsoft.com/office/2006/metadata/properties"/>
    <ds:schemaRef ds:uri="http://schemas.microsoft.com/office/infopath/2007/PartnerControls"/>
    <ds:schemaRef ds:uri="6ed4f710-a888-49b6-a3ba-a65a9384835f"/>
  </ds:schemaRefs>
</ds:datastoreItem>
</file>

<file path=customXml/itemProps3.xml><?xml version="1.0" encoding="utf-8"?>
<ds:datastoreItem xmlns:ds="http://schemas.openxmlformats.org/officeDocument/2006/customXml" ds:itemID="{92F52C52-B945-46C7-9633-B456005F0876}">
  <ds:schemaRefs>
    <ds:schemaRef ds:uri="http://schemas.microsoft.com/sharepoint/v3/contenttype/forms"/>
  </ds:schemaRefs>
</ds:datastoreItem>
</file>

<file path=customXml/itemProps4.xml><?xml version="1.0" encoding="utf-8"?>
<ds:datastoreItem xmlns:ds="http://schemas.openxmlformats.org/officeDocument/2006/customXml" ds:itemID="{03B46D02-B9E6-4DB3-8378-16D98F69C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4417</Words>
  <Characters>25179</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FY 2019 Teacher Quality Partnership FAQs - For Clearance</vt:lpstr>
    </vt:vector>
  </TitlesOfParts>
  <Company>U.S. Department of Education</Company>
  <LinksUpToDate>false</LinksUpToDate>
  <CharactersWithSpaces>29537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FY 2019 Teacher Quality Partnership FAQs - For Clearance</dc:title>
  <dc:creator>Soren Lagaard</dc:creator>
  <cp:lastModifiedBy>Turner, Dramon</cp:lastModifiedBy>
  <cp:revision>1</cp:revision>
  <cp:lastPrinted>2019-05-02T14:33:00Z</cp:lastPrinted>
  <dcterms:created xsi:type="dcterms:W3CDTF">2019-05-15T11:34:00Z</dcterms:created>
  <dcterms:modified xsi:type="dcterms:W3CDTF">2019-05-15T11:34:00Z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0x01010045905E9B17257344A422F0EB5D5A7C38</vt:lpwstr>
  </property>
</Properties>
</file>