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030F4" w14:textId="77777777" w:rsidR="001A7F21" w:rsidRDefault="001A7F21" w:rsidP="001A7F21">
      <w:pPr>
        <w:spacing w:after="0" w:line="240" w:lineRule="auto"/>
        <w:jc w:val="center"/>
        <w:rPr>
          <w:b/>
          <w:smallCaps/>
          <w:color w:val="000000"/>
          <w:spacing w:val="20"/>
          <w:sz w:val="28"/>
          <w:szCs w:val="28"/>
        </w:rPr>
      </w:pPr>
      <w:r w:rsidRPr="00C44905">
        <w:rPr>
          <w:b/>
          <w:smallCaps/>
          <w:color w:val="000000"/>
          <w:spacing w:val="20"/>
          <w:sz w:val="28"/>
          <w:szCs w:val="28"/>
        </w:rPr>
        <w:t>Optional TQP Eligible Partnership AND Partner IHE Checklist</w:t>
      </w:r>
    </w:p>
    <w:p w14:paraId="3742D6E2" w14:textId="77777777" w:rsidR="001A7F21" w:rsidRDefault="001A7F21" w:rsidP="001A7F21">
      <w:pPr>
        <w:spacing w:after="0" w:line="240" w:lineRule="auto"/>
        <w:jc w:val="center"/>
        <w:rPr>
          <w:b/>
          <w:smallCaps/>
          <w:color w:val="000000"/>
          <w:spacing w:val="20"/>
          <w:sz w:val="28"/>
          <w:szCs w:val="28"/>
        </w:rPr>
      </w:pPr>
      <w:r>
        <w:rPr>
          <w:b/>
          <w:smallCaps/>
          <w:color w:val="000000"/>
          <w:spacing w:val="20"/>
          <w:sz w:val="28"/>
          <w:szCs w:val="28"/>
        </w:rPr>
        <w:t>Appendix A</w:t>
      </w:r>
    </w:p>
    <w:p w14:paraId="1A3A7891" w14:textId="77777777" w:rsidR="001A7F21" w:rsidRPr="00C44905" w:rsidRDefault="001A7F21" w:rsidP="001A7F21">
      <w:pPr>
        <w:spacing w:after="0" w:line="240" w:lineRule="auto"/>
        <w:jc w:val="center"/>
        <w:rPr>
          <w:rFonts w:cs="Arial"/>
          <w:b/>
          <w:sz w:val="28"/>
          <w:szCs w:val="28"/>
        </w:rPr>
      </w:pPr>
    </w:p>
    <w:tbl>
      <w:tblPr>
        <w:tblW w:w="110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3041"/>
        <w:gridCol w:w="6075"/>
      </w:tblGrid>
      <w:tr w:rsidR="001A7F21" w:rsidRPr="00177A71" w14:paraId="5E3D8E45" w14:textId="77777777" w:rsidTr="007D7B9B">
        <w:trPr>
          <w:trHeight w:val="404"/>
        </w:trPr>
        <w:tc>
          <w:tcPr>
            <w:tcW w:w="11070" w:type="dxa"/>
            <w:gridSpan w:val="3"/>
            <w:shd w:val="clear" w:color="auto" w:fill="auto"/>
          </w:tcPr>
          <w:p w14:paraId="50300BB2" w14:textId="77777777" w:rsidR="001A7F21" w:rsidRPr="00177A71" w:rsidRDefault="001A7F21" w:rsidP="007D7B9B">
            <w:pPr>
              <w:spacing w:after="0" w:line="240" w:lineRule="auto"/>
              <w:rPr>
                <w:rFonts w:eastAsia="Calibri"/>
                <w:b/>
                <w:sz w:val="24"/>
                <w:szCs w:val="24"/>
                <w:lang w:bidi="ar-SA"/>
              </w:rPr>
            </w:pPr>
            <w:r w:rsidRPr="00177A71">
              <w:rPr>
                <w:rFonts w:eastAsia="Calibri"/>
                <w:b/>
                <w:sz w:val="24"/>
                <w:szCs w:val="24"/>
                <w:lang w:bidi="ar-SA"/>
              </w:rPr>
              <w:t>Eligible Applicant Name:</w:t>
            </w:r>
          </w:p>
        </w:tc>
      </w:tr>
      <w:tr w:rsidR="001A7F21" w:rsidRPr="00177A71" w14:paraId="4620015E" w14:textId="77777777" w:rsidTr="007D7B9B">
        <w:tc>
          <w:tcPr>
            <w:tcW w:w="11070" w:type="dxa"/>
            <w:gridSpan w:val="3"/>
            <w:shd w:val="clear" w:color="auto" w:fill="auto"/>
          </w:tcPr>
          <w:p w14:paraId="7A87C867" w14:textId="77777777" w:rsidR="001A7F21" w:rsidRPr="00177A71" w:rsidRDefault="001A7F21" w:rsidP="007D7B9B">
            <w:pPr>
              <w:spacing w:after="0" w:line="240" w:lineRule="auto"/>
              <w:jc w:val="center"/>
              <w:rPr>
                <w:rFonts w:eastAsia="Calibri"/>
                <w:b/>
                <w:sz w:val="24"/>
                <w:szCs w:val="24"/>
                <w:lang w:bidi="ar-SA"/>
              </w:rPr>
            </w:pPr>
            <w:r w:rsidRPr="00177A71">
              <w:rPr>
                <w:rFonts w:eastAsia="Calibri"/>
                <w:b/>
                <w:sz w:val="24"/>
                <w:szCs w:val="24"/>
                <w:lang w:bidi="ar-SA"/>
              </w:rPr>
              <w:t>Eligible Partnership Entities</w:t>
            </w:r>
          </w:p>
        </w:tc>
      </w:tr>
      <w:tr w:rsidR="001A7F21" w:rsidRPr="00177A71" w14:paraId="3C52B144" w14:textId="77777777" w:rsidTr="007D7B9B">
        <w:tc>
          <w:tcPr>
            <w:tcW w:w="4995" w:type="dxa"/>
            <w:gridSpan w:val="2"/>
            <w:shd w:val="clear" w:color="auto" w:fill="auto"/>
          </w:tcPr>
          <w:p w14:paraId="54E146FE" w14:textId="77777777" w:rsidR="001A7F21" w:rsidRPr="00177A71" w:rsidRDefault="001A7F21" w:rsidP="007D7B9B">
            <w:pPr>
              <w:spacing w:after="0" w:line="240" w:lineRule="auto"/>
              <w:rPr>
                <w:rFonts w:eastAsia="Calibri"/>
                <w:b/>
                <w:sz w:val="24"/>
                <w:szCs w:val="24"/>
                <w:lang w:bidi="ar-SA"/>
              </w:rPr>
            </w:pPr>
            <w:r w:rsidRPr="00177A71">
              <w:rPr>
                <w:rFonts w:eastAsia="Calibri"/>
                <w:b/>
                <w:sz w:val="24"/>
                <w:szCs w:val="24"/>
                <w:lang w:bidi="ar-SA"/>
              </w:rPr>
              <w:t>High-Need LEA:</w:t>
            </w:r>
          </w:p>
        </w:tc>
        <w:tc>
          <w:tcPr>
            <w:tcW w:w="6075" w:type="dxa"/>
            <w:shd w:val="clear" w:color="auto" w:fill="auto"/>
          </w:tcPr>
          <w:p w14:paraId="616D61ED" w14:textId="77777777" w:rsidR="001A7F21" w:rsidRPr="00177A71" w:rsidRDefault="001A7F21" w:rsidP="007D7B9B">
            <w:pPr>
              <w:spacing w:after="0" w:line="240" w:lineRule="auto"/>
              <w:rPr>
                <w:rFonts w:eastAsia="Calibri"/>
                <w:sz w:val="22"/>
                <w:szCs w:val="22"/>
                <w:lang w:bidi="ar-SA"/>
              </w:rPr>
            </w:pPr>
          </w:p>
        </w:tc>
      </w:tr>
      <w:tr w:rsidR="001A7F21" w:rsidRPr="00177A71" w14:paraId="577B1EB6" w14:textId="77777777" w:rsidTr="007D7B9B">
        <w:tc>
          <w:tcPr>
            <w:tcW w:w="4995" w:type="dxa"/>
            <w:gridSpan w:val="2"/>
            <w:shd w:val="clear" w:color="auto" w:fill="auto"/>
          </w:tcPr>
          <w:p w14:paraId="4B675452" w14:textId="77777777" w:rsidR="001A7F21" w:rsidRPr="00177A71" w:rsidRDefault="001A7F21" w:rsidP="007D7B9B">
            <w:pPr>
              <w:spacing w:after="0" w:line="240" w:lineRule="auto"/>
              <w:rPr>
                <w:rFonts w:eastAsia="Calibri"/>
                <w:sz w:val="24"/>
                <w:szCs w:val="24"/>
                <w:lang w:bidi="ar-SA"/>
              </w:rPr>
            </w:pPr>
            <w:r w:rsidRPr="00177A71">
              <w:rPr>
                <w:rFonts w:eastAsia="Calibri"/>
                <w:b/>
                <w:sz w:val="24"/>
                <w:szCs w:val="24"/>
                <w:lang w:bidi="ar-SA"/>
              </w:rPr>
              <w:t>High-Need Sch</w:t>
            </w:r>
            <w:r>
              <w:rPr>
                <w:rFonts w:eastAsia="Calibri"/>
                <w:b/>
                <w:sz w:val="24"/>
                <w:szCs w:val="24"/>
                <w:lang w:bidi="ar-SA"/>
              </w:rPr>
              <w:t>ool within the High-Need LEA:</w:t>
            </w:r>
            <w:r w:rsidRPr="00177A71">
              <w:rPr>
                <w:rFonts w:eastAsia="Calibri"/>
                <w:sz w:val="24"/>
                <w:szCs w:val="24"/>
                <w:lang w:bidi="ar-SA"/>
              </w:rPr>
              <w:t xml:space="preserve"> </w:t>
            </w:r>
            <w:r>
              <w:rPr>
                <w:rFonts w:eastAsia="Calibri"/>
                <w:sz w:val="22"/>
                <w:szCs w:val="22"/>
                <w:lang w:bidi="ar-SA"/>
              </w:rPr>
              <w:t>(must identify</w:t>
            </w:r>
            <w:r w:rsidRPr="00177A71">
              <w:rPr>
                <w:rFonts w:eastAsia="Calibri"/>
                <w:sz w:val="22"/>
                <w:szCs w:val="22"/>
                <w:lang w:bidi="ar-SA"/>
              </w:rPr>
              <w:t xml:space="preserve"> at least ONE school </w:t>
            </w:r>
            <w:r>
              <w:rPr>
                <w:rFonts w:eastAsia="Calibri"/>
                <w:sz w:val="22"/>
                <w:szCs w:val="22"/>
                <w:lang w:bidi="ar-SA"/>
              </w:rPr>
              <w:t xml:space="preserve">within each high-need LEA </w:t>
            </w:r>
            <w:r w:rsidRPr="00177A71">
              <w:rPr>
                <w:rFonts w:eastAsia="Calibri"/>
                <w:sz w:val="22"/>
                <w:szCs w:val="22"/>
                <w:lang w:bidi="ar-SA"/>
              </w:rPr>
              <w:t>at time of application)</w:t>
            </w:r>
          </w:p>
        </w:tc>
        <w:tc>
          <w:tcPr>
            <w:tcW w:w="6075" w:type="dxa"/>
            <w:shd w:val="clear" w:color="auto" w:fill="auto"/>
          </w:tcPr>
          <w:p w14:paraId="561AA6BA" w14:textId="77777777" w:rsidR="001A7F21" w:rsidRPr="00177A71" w:rsidRDefault="001A7F21" w:rsidP="007D7B9B">
            <w:pPr>
              <w:spacing w:after="0" w:line="240" w:lineRule="auto"/>
              <w:rPr>
                <w:rFonts w:eastAsia="Calibri"/>
                <w:sz w:val="22"/>
                <w:szCs w:val="22"/>
                <w:lang w:bidi="ar-SA"/>
              </w:rPr>
            </w:pPr>
          </w:p>
        </w:tc>
      </w:tr>
      <w:tr w:rsidR="001A7F21" w:rsidRPr="00177A71" w14:paraId="329ED7B6" w14:textId="77777777" w:rsidTr="007D7B9B">
        <w:tc>
          <w:tcPr>
            <w:tcW w:w="4995" w:type="dxa"/>
            <w:gridSpan w:val="2"/>
            <w:shd w:val="clear" w:color="auto" w:fill="auto"/>
          </w:tcPr>
          <w:p w14:paraId="29561099" w14:textId="77777777" w:rsidR="001A7F21" w:rsidRPr="00177A71" w:rsidRDefault="001A7F21" w:rsidP="007D7B9B">
            <w:pPr>
              <w:spacing w:after="0" w:line="240" w:lineRule="auto"/>
              <w:rPr>
                <w:rFonts w:eastAsia="Calibri"/>
                <w:b/>
                <w:sz w:val="24"/>
                <w:szCs w:val="24"/>
                <w:lang w:bidi="ar-SA"/>
              </w:rPr>
            </w:pPr>
            <w:r w:rsidRPr="00177A71">
              <w:rPr>
                <w:rFonts w:eastAsia="Calibri"/>
                <w:b/>
                <w:sz w:val="24"/>
                <w:szCs w:val="24"/>
                <w:lang w:bidi="ar-SA"/>
              </w:rPr>
              <w:t>Partner IHE:</w:t>
            </w:r>
          </w:p>
        </w:tc>
        <w:tc>
          <w:tcPr>
            <w:tcW w:w="6075" w:type="dxa"/>
            <w:shd w:val="clear" w:color="auto" w:fill="auto"/>
          </w:tcPr>
          <w:p w14:paraId="65C7874F" w14:textId="77777777" w:rsidR="001A7F21" w:rsidRPr="00177A71" w:rsidRDefault="001A7F21" w:rsidP="007D7B9B">
            <w:pPr>
              <w:spacing w:after="0" w:line="240" w:lineRule="auto"/>
              <w:rPr>
                <w:rFonts w:eastAsia="Calibri"/>
                <w:sz w:val="22"/>
                <w:szCs w:val="22"/>
                <w:lang w:bidi="ar-SA"/>
              </w:rPr>
            </w:pPr>
          </w:p>
        </w:tc>
      </w:tr>
      <w:tr w:rsidR="001A7F21" w:rsidRPr="00177A71" w14:paraId="389E8189" w14:textId="77777777" w:rsidTr="007D7B9B">
        <w:tc>
          <w:tcPr>
            <w:tcW w:w="4995" w:type="dxa"/>
            <w:gridSpan w:val="2"/>
            <w:shd w:val="clear" w:color="auto" w:fill="auto"/>
          </w:tcPr>
          <w:p w14:paraId="12C63E2E" w14:textId="77777777" w:rsidR="001A7F21" w:rsidRPr="00177A71" w:rsidRDefault="001A7F21" w:rsidP="007D7B9B">
            <w:pPr>
              <w:spacing w:after="0" w:line="240" w:lineRule="auto"/>
              <w:rPr>
                <w:rFonts w:eastAsia="Calibri"/>
                <w:b/>
                <w:sz w:val="24"/>
                <w:szCs w:val="24"/>
                <w:lang w:bidi="ar-SA"/>
              </w:rPr>
            </w:pPr>
            <w:r w:rsidRPr="00177A71">
              <w:rPr>
                <w:rFonts w:eastAsia="Calibri"/>
                <w:b/>
                <w:sz w:val="24"/>
                <w:szCs w:val="24"/>
                <w:lang w:bidi="ar-SA"/>
              </w:rPr>
              <w:t>College or School of Education within the partner IHE:</w:t>
            </w:r>
          </w:p>
        </w:tc>
        <w:tc>
          <w:tcPr>
            <w:tcW w:w="6075" w:type="dxa"/>
            <w:shd w:val="clear" w:color="auto" w:fill="auto"/>
          </w:tcPr>
          <w:p w14:paraId="5A4C351D" w14:textId="77777777" w:rsidR="001A7F21" w:rsidRPr="00177A71" w:rsidRDefault="001A7F21" w:rsidP="007D7B9B">
            <w:pPr>
              <w:spacing w:after="0" w:line="240" w:lineRule="auto"/>
              <w:rPr>
                <w:rFonts w:eastAsia="Calibri"/>
                <w:sz w:val="22"/>
                <w:szCs w:val="22"/>
                <w:lang w:bidi="ar-SA"/>
              </w:rPr>
            </w:pPr>
          </w:p>
        </w:tc>
      </w:tr>
      <w:tr w:rsidR="001A7F21" w:rsidRPr="00177A71" w14:paraId="42DFB2CC" w14:textId="77777777" w:rsidTr="007D7B9B">
        <w:tc>
          <w:tcPr>
            <w:tcW w:w="4995" w:type="dxa"/>
            <w:gridSpan w:val="2"/>
            <w:shd w:val="clear" w:color="auto" w:fill="auto"/>
          </w:tcPr>
          <w:p w14:paraId="33DC431B" w14:textId="77777777" w:rsidR="001A7F21" w:rsidRPr="00177A71" w:rsidRDefault="001A7F21" w:rsidP="007D7B9B">
            <w:pPr>
              <w:spacing w:after="0" w:line="240" w:lineRule="auto"/>
              <w:rPr>
                <w:rFonts w:eastAsia="Calibri"/>
                <w:b/>
                <w:sz w:val="24"/>
                <w:szCs w:val="24"/>
                <w:lang w:bidi="ar-SA"/>
              </w:rPr>
            </w:pPr>
            <w:r w:rsidRPr="00177A71">
              <w:rPr>
                <w:rFonts w:eastAsia="Calibri"/>
                <w:b/>
                <w:sz w:val="24"/>
                <w:szCs w:val="24"/>
                <w:lang w:bidi="ar-SA"/>
              </w:rPr>
              <w:t>College or School of Arts and Sciences within the partner IHE:</w:t>
            </w:r>
          </w:p>
        </w:tc>
        <w:tc>
          <w:tcPr>
            <w:tcW w:w="6075" w:type="dxa"/>
            <w:shd w:val="clear" w:color="auto" w:fill="auto"/>
          </w:tcPr>
          <w:p w14:paraId="24073096" w14:textId="77777777" w:rsidR="001A7F21" w:rsidRPr="00177A71" w:rsidRDefault="001A7F21" w:rsidP="007D7B9B">
            <w:pPr>
              <w:spacing w:after="0" w:line="240" w:lineRule="auto"/>
              <w:rPr>
                <w:rFonts w:eastAsia="Calibri"/>
                <w:sz w:val="22"/>
                <w:szCs w:val="22"/>
                <w:lang w:bidi="ar-SA"/>
              </w:rPr>
            </w:pPr>
          </w:p>
        </w:tc>
      </w:tr>
      <w:tr w:rsidR="001A7F21" w:rsidRPr="00177A71" w14:paraId="6386AA32" w14:textId="77777777" w:rsidTr="007D7B9B">
        <w:tc>
          <w:tcPr>
            <w:tcW w:w="11070" w:type="dxa"/>
            <w:gridSpan w:val="3"/>
            <w:shd w:val="clear" w:color="auto" w:fill="auto"/>
          </w:tcPr>
          <w:p w14:paraId="1ADB20D1" w14:textId="77777777" w:rsidR="001A7F21" w:rsidRPr="00177A71" w:rsidRDefault="001A7F21" w:rsidP="007D7B9B">
            <w:pPr>
              <w:spacing w:after="0" w:line="240" w:lineRule="auto"/>
              <w:jc w:val="center"/>
              <w:rPr>
                <w:rFonts w:eastAsia="Calibri"/>
                <w:b/>
                <w:sz w:val="24"/>
                <w:szCs w:val="24"/>
                <w:lang w:bidi="ar-SA"/>
              </w:rPr>
            </w:pPr>
            <w:r w:rsidRPr="00177A71">
              <w:rPr>
                <w:rFonts w:eastAsia="Calibri"/>
                <w:b/>
                <w:sz w:val="24"/>
                <w:szCs w:val="24"/>
                <w:lang w:bidi="ar-SA"/>
              </w:rPr>
              <w:t xml:space="preserve">Partner IHE Eligibility </w:t>
            </w:r>
          </w:p>
        </w:tc>
      </w:tr>
      <w:tr w:rsidR="001A7F21" w:rsidRPr="00177A71" w14:paraId="5F1CEEBF" w14:textId="77777777" w:rsidTr="007D7B9B">
        <w:tc>
          <w:tcPr>
            <w:tcW w:w="11070" w:type="dxa"/>
            <w:gridSpan w:val="3"/>
            <w:shd w:val="clear" w:color="auto" w:fill="auto"/>
          </w:tcPr>
          <w:p w14:paraId="403C29D0"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Partner institution from Section 200(17) means an IHE, which may include a two-year IHE offering a dual program with a partner four-year IHE, participating in an eligible partnership that has a teacher preparation program--</w:t>
            </w:r>
          </w:p>
        </w:tc>
      </w:tr>
      <w:tr w:rsidR="001A7F21" w:rsidRPr="00177A71" w14:paraId="3E63A067" w14:textId="77777777" w:rsidTr="007D7B9B">
        <w:tc>
          <w:tcPr>
            <w:tcW w:w="11070" w:type="dxa"/>
            <w:gridSpan w:val="3"/>
            <w:shd w:val="clear" w:color="auto" w:fill="auto"/>
          </w:tcPr>
          <w:p w14:paraId="73FFFB96"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w:t>
            </w:r>
            <w:proofErr w:type="spellStart"/>
            <w:r w:rsidRPr="00177A71">
              <w:rPr>
                <w:rFonts w:eastAsia="Calibri"/>
                <w:sz w:val="22"/>
                <w:szCs w:val="22"/>
                <w:lang w:bidi="ar-SA"/>
              </w:rPr>
              <w:t>i</w:t>
            </w:r>
            <w:proofErr w:type="spellEnd"/>
            <w:r w:rsidRPr="00177A71">
              <w:rPr>
                <w:rFonts w:eastAsia="Calibri"/>
                <w:sz w:val="22"/>
                <w:szCs w:val="22"/>
                <w:lang w:bidi="ar-SA"/>
              </w:rPr>
              <w:t>)  Whose graduates exhibit strong performance on State determined qualifying assessments for new teachers through--</w:t>
            </w:r>
          </w:p>
        </w:tc>
      </w:tr>
      <w:tr w:rsidR="001A7F21" w:rsidRPr="00177A71" w14:paraId="75B82CD2" w14:textId="77777777" w:rsidTr="007D7B9B">
        <w:tc>
          <w:tcPr>
            <w:tcW w:w="1954" w:type="dxa"/>
            <w:shd w:val="clear" w:color="auto" w:fill="auto"/>
          </w:tcPr>
          <w:p w14:paraId="0F0D7373" w14:textId="77777777" w:rsidR="001A7F21" w:rsidRPr="00177A71" w:rsidRDefault="001A7F21" w:rsidP="007D7B9B">
            <w:pPr>
              <w:spacing w:after="0" w:line="240" w:lineRule="auto"/>
              <w:rPr>
                <w:rFonts w:eastAsia="Calibri"/>
                <w:sz w:val="22"/>
                <w:szCs w:val="22"/>
                <w:lang w:bidi="ar-SA"/>
              </w:rPr>
            </w:pPr>
            <w:r w:rsidRPr="00177A71">
              <w:rPr>
                <w:rFonts w:eastAsia="Calibri"/>
                <w:b/>
                <w:sz w:val="22"/>
                <w:szCs w:val="22"/>
                <w:lang w:bidi="ar-SA"/>
              </w:rPr>
              <w:t>Page</w:t>
            </w:r>
            <w:r w:rsidRPr="00177A71">
              <w:rPr>
                <w:rFonts w:eastAsia="Calibri"/>
                <w:sz w:val="22"/>
                <w:szCs w:val="22"/>
                <w:lang w:bidi="ar-SA"/>
              </w:rPr>
              <w:t xml:space="preserve"> _______</w:t>
            </w:r>
          </w:p>
        </w:tc>
        <w:tc>
          <w:tcPr>
            <w:tcW w:w="9116" w:type="dxa"/>
            <w:gridSpan w:val="2"/>
            <w:shd w:val="clear" w:color="auto" w:fill="auto"/>
          </w:tcPr>
          <w:p w14:paraId="1212C910"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 xml:space="preserve">(A)  Demonstrating that 80 percent or more of the graduates of the program who intend to enter the field of teaching have passed </w:t>
            </w:r>
            <w:proofErr w:type="gramStart"/>
            <w:r w:rsidRPr="00177A71">
              <w:rPr>
                <w:rFonts w:eastAsia="Calibri"/>
                <w:sz w:val="22"/>
                <w:szCs w:val="22"/>
                <w:lang w:bidi="ar-SA"/>
              </w:rPr>
              <w:t>all of</w:t>
            </w:r>
            <w:proofErr w:type="gramEnd"/>
            <w:r w:rsidRPr="00177A71">
              <w:rPr>
                <w:rFonts w:eastAsia="Calibri"/>
                <w:sz w:val="22"/>
                <w:szCs w:val="22"/>
                <w:lang w:bidi="ar-SA"/>
              </w:rPr>
              <w:t xml:space="preserve"> the applicable State qualification assessments for new teachers, which shall include an assessment of each prospective teacher’s subject matter knowledge in the content area in which the teacher intends to teach; or</w:t>
            </w:r>
          </w:p>
        </w:tc>
      </w:tr>
      <w:tr w:rsidR="001A7F21" w:rsidRPr="00177A71" w14:paraId="4E5335C3" w14:textId="77777777" w:rsidTr="007D7B9B">
        <w:tc>
          <w:tcPr>
            <w:tcW w:w="11070" w:type="dxa"/>
            <w:gridSpan w:val="3"/>
            <w:shd w:val="clear" w:color="auto" w:fill="auto"/>
          </w:tcPr>
          <w:p w14:paraId="359C7577"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(B)  Being ranked among the highest-performing teacher preparation programs in the State as determined by the State--</w:t>
            </w:r>
          </w:p>
        </w:tc>
      </w:tr>
      <w:tr w:rsidR="001A7F21" w:rsidRPr="00177A71" w14:paraId="4CD90B5D" w14:textId="77777777" w:rsidTr="007D7B9B">
        <w:tc>
          <w:tcPr>
            <w:tcW w:w="1954" w:type="dxa"/>
            <w:shd w:val="clear" w:color="auto" w:fill="auto"/>
          </w:tcPr>
          <w:p w14:paraId="69426A61" w14:textId="77777777" w:rsidR="001A7F21" w:rsidRPr="00177A71" w:rsidRDefault="001A7F21" w:rsidP="007D7B9B">
            <w:pPr>
              <w:spacing w:after="0" w:line="240" w:lineRule="auto"/>
              <w:rPr>
                <w:rFonts w:eastAsia="Calibri"/>
                <w:sz w:val="22"/>
                <w:szCs w:val="22"/>
                <w:lang w:bidi="ar-SA"/>
              </w:rPr>
            </w:pPr>
            <w:r w:rsidRPr="00177A71">
              <w:rPr>
                <w:rFonts w:eastAsia="Calibri"/>
                <w:b/>
                <w:sz w:val="22"/>
                <w:szCs w:val="22"/>
                <w:lang w:bidi="ar-SA"/>
              </w:rPr>
              <w:t>Page</w:t>
            </w:r>
            <w:r w:rsidRPr="00177A71">
              <w:rPr>
                <w:rFonts w:eastAsia="Calibri"/>
                <w:sz w:val="22"/>
                <w:szCs w:val="22"/>
                <w:lang w:bidi="ar-SA"/>
              </w:rPr>
              <w:t xml:space="preserve"> _______</w:t>
            </w:r>
          </w:p>
        </w:tc>
        <w:tc>
          <w:tcPr>
            <w:tcW w:w="9116" w:type="dxa"/>
            <w:gridSpan w:val="2"/>
            <w:shd w:val="clear" w:color="auto" w:fill="auto"/>
          </w:tcPr>
          <w:p w14:paraId="33F804B3"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(1)  Using criteria consistent with the requirements for the State Report Card under section 205(b) of the HEA before the first publication of the report card; and</w:t>
            </w:r>
          </w:p>
        </w:tc>
      </w:tr>
      <w:tr w:rsidR="001A7F21" w:rsidRPr="00177A71" w14:paraId="448465BE" w14:textId="77777777" w:rsidTr="007D7B9B">
        <w:tc>
          <w:tcPr>
            <w:tcW w:w="1954" w:type="dxa"/>
            <w:shd w:val="clear" w:color="auto" w:fill="auto"/>
          </w:tcPr>
          <w:p w14:paraId="3D95BB70" w14:textId="77777777" w:rsidR="001A7F21" w:rsidRPr="00177A71" w:rsidRDefault="001A7F21" w:rsidP="007D7B9B">
            <w:pPr>
              <w:spacing w:after="0" w:line="240" w:lineRule="auto"/>
              <w:rPr>
                <w:rFonts w:eastAsia="Calibri"/>
                <w:sz w:val="22"/>
                <w:szCs w:val="22"/>
                <w:lang w:bidi="ar-SA"/>
              </w:rPr>
            </w:pPr>
            <w:r w:rsidRPr="00177A71">
              <w:rPr>
                <w:rFonts w:eastAsia="Calibri"/>
                <w:b/>
                <w:sz w:val="22"/>
                <w:szCs w:val="22"/>
                <w:lang w:bidi="ar-SA"/>
              </w:rPr>
              <w:t>Page</w:t>
            </w:r>
            <w:r w:rsidRPr="00177A71">
              <w:rPr>
                <w:rFonts w:eastAsia="Calibri"/>
                <w:sz w:val="22"/>
                <w:szCs w:val="22"/>
                <w:lang w:bidi="ar-SA"/>
              </w:rPr>
              <w:t xml:space="preserve"> _______</w:t>
            </w:r>
          </w:p>
        </w:tc>
        <w:tc>
          <w:tcPr>
            <w:tcW w:w="9116" w:type="dxa"/>
            <w:gridSpan w:val="2"/>
            <w:shd w:val="clear" w:color="auto" w:fill="auto"/>
          </w:tcPr>
          <w:p w14:paraId="34448A8F"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(2)  Using the State report card on teacher preparation required under section 205(b), after the first publication of such report card and for every year thereafter; and</w:t>
            </w:r>
          </w:p>
        </w:tc>
      </w:tr>
      <w:tr w:rsidR="001A7F21" w:rsidRPr="00177A71" w14:paraId="00C16862" w14:textId="77777777" w:rsidTr="007D7B9B">
        <w:tc>
          <w:tcPr>
            <w:tcW w:w="11070" w:type="dxa"/>
            <w:gridSpan w:val="3"/>
            <w:shd w:val="clear" w:color="auto" w:fill="auto"/>
          </w:tcPr>
          <w:p w14:paraId="2640030A"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(ii)  That requires--</w:t>
            </w:r>
          </w:p>
        </w:tc>
      </w:tr>
      <w:tr w:rsidR="001A7F21" w:rsidRPr="00177A71" w14:paraId="755C2B90" w14:textId="77777777" w:rsidTr="007D7B9B">
        <w:tc>
          <w:tcPr>
            <w:tcW w:w="1954" w:type="dxa"/>
            <w:shd w:val="clear" w:color="auto" w:fill="auto"/>
          </w:tcPr>
          <w:p w14:paraId="16CE3199" w14:textId="77777777" w:rsidR="001A7F21" w:rsidRPr="00177A71" w:rsidRDefault="001A7F21" w:rsidP="007D7B9B">
            <w:pPr>
              <w:spacing w:after="0" w:line="240" w:lineRule="auto"/>
              <w:rPr>
                <w:rFonts w:eastAsia="Calibri"/>
                <w:sz w:val="22"/>
                <w:szCs w:val="22"/>
                <w:lang w:bidi="ar-SA"/>
              </w:rPr>
            </w:pPr>
            <w:r w:rsidRPr="00177A71">
              <w:rPr>
                <w:rFonts w:eastAsia="Calibri"/>
                <w:b/>
                <w:sz w:val="22"/>
                <w:szCs w:val="22"/>
                <w:lang w:bidi="ar-SA"/>
              </w:rPr>
              <w:t>Page</w:t>
            </w:r>
            <w:r w:rsidRPr="00177A71">
              <w:rPr>
                <w:rFonts w:eastAsia="Calibri"/>
                <w:sz w:val="22"/>
                <w:szCs w:val="22"/>
                <w:lang w:bidi="ar-SA"/>
              </w:rPr>
              <w:t xml:space="preserve"> _______</w:t>
            </w:r>
          </w:p>
        </w:tc>
        <w:tc>
          <w:tcPr>
            <w:tcW w:w="9116" w:type="dxa"/>
            <w:gridSpan w:val="2"/>
            <w:shd w:val="clear" w:color="auto" w:fill="auto"/>
          </w:tcPr>
          <w:p w14:paraId="7F5184AF"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(A)  Each student in the program to meet high academic standards or demonstrate a record of success, as determined by the institution (including prior to entering and being accepted into a program), and participate in intensive clinical experience;</w:t>
            </w:r>
          </w:p>
        </w:tc>
      </w:tr>
      <w:tr w:rsidR="001A7F21" w:rsidRPr="00177A71" w14:paraId="499D6F65" w14:textId="77777777" w:rsidTr="007D7B9B">
        <w:tc>
          <w:tcPr>
            <w:tcW w:w="1954" w:type="dxa"/>
            <w:shd w:val="clear" w:color="auto" w:fill="auto"/>
          </w:tcPr>
          <w:p w14:paraId="6C0030D1" w14:textId="77777777" w:rsidR="001A7F21" w:rsidRPr="00177A71" w:rsidRDefault="001A7F21" w:rsidP="007D7B9B">
            <w:pPr>
              <w:spacing w:after="0" w:line="240" w:lineRule="auto"/>
              <w:rPr>
                <w:rFonts w:eastAsia="Calibri"/>
                <w:sz w:val="22"/>
                <w:szCs w:val="22"/>
                <w:lang w:bidi="ar-SA"/>
              </w:rPr>
            </w:pPr>
            <w:r w:rsidRPr="00177A71">
              <w:rPr>
                <w:rFonts w:eastAsia="Calibri"/>
                <w:b/>
                <w:sz w:val="22"/>
                <w:szCs w:val="22"/>
                <w:lang w:bidi="ar-SA"/>
              </w:rPr>
              <w:t>Page</w:t>
            </w:r>
            <w:r w:rsidRPr="00177A71">
              <w:rPr>
                <w:rFonts w:eastAsia="Calibri"/>
                <w:sz w:val="22"/>
                <w:szCs w:val="22"/>
                <w:lang w:bidi="ar-SA"/>
              </w:rPr>
              <w:t xml:space="preserve"> _______</w:t>
            </w:r>
          </w:p>
        </w:tc>
        <w:tc>
          <w:tcPr>
            <w:tcW w:w="9116" w:type="dxa"/>
            <w:gridSpan w:val="2"/>
            <w:shd w:val="clear" w:color="auto" w:fill="auto"/>
          </w:tcPr>
          <w:p w14:paraId="5E5DA55B"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 xml:space="preserve">(B)  Each student in the program preparing to become a teacher </w:t>
            </w:r>
            <w:r w:rsidRPr="008B54D5">
              <w:rPr>
                <w:rFonts w:eastAsia="Calibri"/>
                <w:sz w:val="22"/>
                <w:szCs w:val="22"/>
                <w:lang w:bidi="ar-SA"/>
              </w:rPr>
              <w:t>who meet</w:t>
            </w:r>
            <w:r>
              <w:rPr>
                <w:rFonts w:eastAsia="Calibri"/>
                <w:sz w:val="22"/>
                <w:szCs w:val="22"/>
                <w:lang w:bidi="ar-SA"/>
              </w:rPr>
              <w:t>s</w:t>
            </w:r>
            <w:r w:rsidRPr="008B54D5">
              <w:rPr>
                <w:rFonts w:eastAsia="Calibri"/>
                <w:sz w:val="22"/>
                <w:szCs w:val="22"/>
                <w:lang w:bidi="ar-SA"/>
              </w:rPr>
              <w:t xml:space="preserve"> applicable State certification and licensure requirements</w:t>
            </w:r>
            <w:r w:rsidRPr="00177A71">
              <w:rPr>
                <w:rFonts w:eastAsia="Calibri"/>
                <w:sz w:val="22"/>
                <w:szCs w:val="22"/>
                <w:lang w:bidi="ar-SA"/>
              </w:rPr>
              <w:t>; and</w:t>
            </w:r>
          </w:p>
        </w:tc>
      </w:tr>
      <w:tr w:rsidR="001A7F21" w:rsidRPr="00177A71" w14:paraId="62A45525" w14:textId="77777777" w:rsidTr="007D7B9B">
        <w:trPr>
          <w:trHeight w:val="638"/>
        </w:trPr>
        <w:tc>
          <w:tcPr>
            <w:tcW w:w="1954" w:type="dxa"/>
            <w:shd w:val="clear" w:color="auto" w:fill="auto"/>
          </w:tcPr>
          <w:p w14:paraId="37C75FA4" w14:textId="77777777" w:rsidR="001A7F21" w:rsidRPr="00177A71" w:rsidRDefault="001A7F21" w:rsidP="007D7B9B">
            <w:pPr>
              <w:spacing w:after="0" w:line="240" w:lineRule="auto"/>
              <w:rPr>
                <w:rFonts w:eastAsia="Calibri"/>
                <w:sz w:val="22"/>
                <w:szCs w:val="22"/>
                <w:lang w:bidi="ar-SA"/>
              </w:rPr>
            </w:pPr>
            <w:r w:rsidRPr="00177A71">
              <w:rPr>
                <w:rFonts w:eastAsia="Calibri"/>
                <w:b/>
                <w:sz w:val="22"/>
                <w:szCs w:val="22"/>
                <w:lang w:bidi="ar-SA"/>
              </w:rPr>
              <w:t xml:space="preserve">Page </w:t>
            </w:r>
            <w:r w:rsidRPr="00177A71">
              <w:rPr>
                <w:rFonts w:eastAsia="Calibri"/>
                <w:sz w:val="22"/>
                <w:szCs w:val="22"/>
                <w:lang w:bidi="ar-SA"/>
              </w:rPr>
              <w:t>_______</w:t>
            </w:r>
          </w:p>
        </w:tc>
        <w:tc>
          <w:tcPr>
            <w:tcW w:w="9116" w:type="dxa"/>
            <w:gridSpan w:val="2"/>
            <w:shd w:val="clear" w:color="auto" w:fill="auto"/>
          </w:tcPr>
          <w:p w14:paraId="76ACEA45"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(C)  Each student in the program preparing to become an early childhood educator to meet degree requirements, as established by the State, and become highly competent.</w:t>
            </w:r>
          </w:p>
        </w:tc>
      </w:tr>
      <w:tr w:rsidR="001A7F21" w:rsidRPr="00177A71" w14:paraId="3819A44C" w14:textId="77777777" w:rsidTr="007D7B9B">
        <w:tc>
          <w:tcPr>
            <w:tcW w:w="11070" w:type="dxa"/>
            <w:gridSpan w:val="3"/>
            <w:shd w:val="clear" w:color="auto" w:fill="auto"/>
          </w:tcPr>
          <w:p w14:paraId="556364DA"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Note:  For purposes of paragraph (ii)(C) of this definition, the term “highly competent,” under section 200(12) of the HEA, when used with respect to an early childhood educator, means an educator--</w:t>
            </w:r>
          </w:p>
          <w:p w14:paraId="6120D510"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 xml:space="preserve">     (a)  With specialized education and training in development and education of young children from birth until entry into kindergarten; </w:t>
            </w:r>
          </w:p>
          <w:p w14:paraId="439AA6CC"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 xml:space="preserve">     (b)  With–-</w:t>
            </w:r>
          </w:p>
          <w:p w14:paraId="1EFDADBD"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 xml:space="preserve">     (</w:t>
            </w:r>
            <w:proofErr w:type="spellStart"/>
            <w:r w:rsidRPr="00177A71">
              <w:rPr>
                <w:rFonts w:eastAsia="Calibri"/>
                <w:sz w:val="22"/>
                <w:szCs w:val="22"/>
                <w:lang w:bidi="ar-SA"/>
              </w:rPr>
              <w:t>i</w:t>
            </w:r>
            <w:proofErr w:type="spellEnd"/>
            <w:r w:rsidRPr="00177A71">
              <w:rPr>
                <w:rFonts w:eastAsia="Calibri"/>
                <w:sz w:val="22"/>
                <w:szCs w:val="22"/>
                <w:lang w:bidi="ar-SA"/>
              </w:rPr>
              <w:t>)  A baccalaureate degree in an academic major in the arts and sciences; or</w:t>
            </w:r>
          </w:p>
          <w:p w14:paraId="04FEE609"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 xml:space="preserve">     (ii)  An </w:t>
            </w:r>
            <w:proofErr w:type="gramStart"/>
            <w:r w:rsidRPr="00177A71">
              <w:rPr>
                <w:rFonts w:eastAsia="Calibri"/>
                <w:sz w:val="22"/>
                <w:szCs w:val="22"/>
                <w:lang w:bidi="ar-SA"/>
              </w:rPr>
              <w:t>associate’s</w:t>
            </w:r>
            <w:proofErr w:type="gramEnd"/>
            <w:r w:rsidRPr="00177A71">
              <w:rPr>
                <w:rFonts w:eastAsia="Calibri"/>
                <w:sz w:val="22"/>
                <w:szCs w:val="22"/>
                <w:lang w:bidi="ar-SA"/>
              </w:rPr>
              <w:t xml:space="preserve"> degree in a related educational area; and</w:t>
            </w:r>
          </w:p>
          <w:p w14:paraId="41CB877D" w14:textId="77777777" w:rsidR="001A7F21" w:rsidRPr="00177A71" w:rsidRDefault="001A7F21" w:rsidP="007D7B9B">
            <w:pPr>
              <w:spacing w:after="0" w:line="240" w:lineRule="auto"/>
              <w:rPr>
                <w:rFonts w:eastAsia="Calibri"/>
                <w:sz w:val="22"/>
                <w:szCs w:val="22"/>
                <w:lang w:bidi="ar-SA"/>
              </w:rPr>
            </w:pPr>
            <w:r w:rsidRPr="00177A71">
              <w:rPr>
                <w:rFonts w:eastAsia="Calibri"/>
                <w:sz w:val="22"/>
                <w:szCs w:val="22"/>
                <w:lang w:bidi="ar-SA"/>
              </w:rPr>
              <w:t xml:space="preserve">     (c)  Who has demonstrated a high level of knowledge and use of content and pedagogy in the relevant areas associated with quality ECE.</w:t>
            </w:r>
          </w:p>
        </w:tc>
      </w:tr>
    </w:tbl>
    <w:p w14:paraId="4AC0C1F0" w14:textId="77777777" w:rsidR="001A7F21" w:rsidRPr="00CB5C95" w:rsidRDefault="001A7F21" w:rsidP="001A7F21">
      <w:pPr>
        <w:spacing w:after="0" w:line="240" w:lineRule="auto"/>
        <w:rPr>
          <w:b/>
          <w:smallCaps/>
          <w:color w:val="FF0000"/>
          <w:spacing w:val="20"/>
          <w:sz w:val="28"/>
          <w:szCs w:val="28"/>
        </w:rPr>
      </w:pPr>
      <w:bookmarkStart w:id="0" w:name="_GoBack"/>
      <w:bookmarkEnd w:id="0"/>
    </w:p>
    <w:sectPr w:rsidR="001A7F21" w:rsidRPr="00CB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21"/>
    <w:rsid w:val="001A7F21"/>
    <w:rsid w:val="0038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09E0"/>
  <w15:chartTrackingRefBased/>
  <w15:docId w15:val="{2C9A121B-DAF9-4FEB-A924-73A388DB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F21"/>
    <w:pPr>
      <w:spacing w:line="288" w:lineRule="auto"/>
    </w:pPr>
    <w:rPr>
      <w:rFonts w:ascii="Calibri" w:eastAsia="Times New Roman" w:hAnsi="Calibri"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Howerton, Mia</dc:creator>
  <cp:keywords/>
  <dc:description/>
  <cp:lastModifiedBy>Howerton, Mia</cp:lastModifiedBy>
  <cp:revision>1</cp:revision>
  <dcterms:created xsi:type="dcterms:W3CDTF">2019-04-15T16:08:00Z</dcterms:created>
  <dcterms:modified xsi:type="dcterms:W3CDTF">2019-04-15T16:19:00Z</dcterms:modified>
</cp:coreProperties>
</file>