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60"/>
        </w:rPr>
        <w:t>AuraFlow</w:t>
      </w:r>
    </w:p>
    <w:p>
      <w:pPr>
        <w:spacing w:after="480"/>
        <w:jc w:val="center"/>
      </w:pPr>
      <w:r>
        <w:rPr>
          <w:color w:val="404040"/>
          <w:sz w:val="30"/>
        </w:rPr>
        <w:t>An AI-Driven Smart Lifestyle Companion</w:t>
      </w:r>
    </w:p>
    <w:p>
      <w:pPr>
        <w:spacing w:after="60"/>
        <w:jc w:val="center"/>
      </w:pPr>
      <w:r>
        <w:rPr>
          <w:b/>
          <w:sz w:val="24"/>
        </w:rPr>
        <w:t>CMP 7003 — Emerging Mobile Applications</w:t>
      </w:r>
    </w:p>
    <w:p>
      <w:pPr>
        <w:spacing w:after="60"/>
        <w:jc w:val="center"/>
      </w:pPr>
      <w:r>
        <w:rPr>
          <w:b w:val="0"/>
          <w:sz w:val="24"/>
        </w:rPr>
        <w:t>PRAC1 — Practical Project</w:t>
      </w:r>
    </w:p>
    <w:p>
      <w:pPr>
        <w:spacing w:after="60"/>
        <w:jc w:val="center"/>
      </w:pPr>
      <w:r>
        <w:rPr>
          <w:b w:val="0"/>
          <w:sz w:val="22"/>
        </w:rPr>
        <w:t>Cardiff Metropolitan University / ICBT</w:t>
      </w:r>
    </w:p>
    <w:p>
      <w:pPr>
        <w:spacing w:after="60"/>
        <w:jc w:val="center"/>
      </w:pPr>
      <w:r>
        <w:rPr>
          <w:b w:val="0"/>
          <w:sz w:val="22"/>
        </w:rPr>
        <w:t>Academic Year 2025–2026, Semester 2</w:t>
      </w:r>
    </w:p>
    <w:p>
      <w:pPr>
        <w:spacing w:after="360"/>
      </w:pPr>
    </w:p>
    <w:tbl>
      <w:tblPr>
        <w:tblStyle w:val="TableGrid"/>
        <w:tblW w:type="auto" w:w="0"/>
        <w:jc w:val="center"/>
        <w:tblLook w:firstColumn="1" w:firstRow="1" w:lastColumn="0" w:lastRow="0" w:noHBand="0" w:noVBand="1" w:val="04A0"/>
      </w:tblPr>
      <w:tblGrid>
        <w:gridCol w:w="4513"/>
        <w:gridCol w:w="4513"/>
      </w:tblGrid>
      <w:tr>
        <w:tc>
          <w:tcPr>
            <w:tcW w:type="dxa" w:w="2835"/>
            <w:shd w:fill="D9E2F3"/>
          </w:tcPr>
          <w:p>
            <w:pPr>
              <w:spacing w:after="40"/>
            </w:pPr>
            <w:r>
              <w:rPr>
                <w:b/>
                <w:sz w:val="19"/>
              </w:rPr>
            </w:r>
          </w:p>
        </w:tc>
        <w:tc>
          <w:tcPr>
            <w:tcW w:type="dxa" w:w="5386"/>
            <w:shd w:fill="D9E2F3"/>
          </w:tcPr>
          <w:p>
            <w:pPr>
              <w:spacing w:after="40"/>
            </w:pPr>
            <w:r>
              <w:rPr>
                <w:b/>
                <w:sz w:val="19"/>
              </w:rPr>
            </w:r>
          </w:p>
        </w:tc>
      </w:tr>
      <w:tr>
        <w:tc>
          <w:tcPr>
            <w:tcW w:type="dxa" w:w="2835"/>
          </w:tcPr>
          <w:p>
            <w:pPr>
              <w:spacing w:after="40"/>
            </w:pPr>
            <w:r>
              <w:rPr>
                <w:sz w:val="19"/>
              </w:rPr>
            </w:r>
            <w:r>
              <w:rPr>
                <w:sz w:val="19"/>
              </w:rPr>
              <w:t>Name</w:t>
            </w:r>
          </w:p>
        </w:tc>
        <w:tc>
          <w:tcPr>
            <w:tcW w:type="dxa" w:w="5386"/>
          </w:tcPr>
          <w:p>
            <w:pPr>
              <w:spacing w:after="40"/>
            </w:pPr>
            <w:r>
              <w:rPr>
                <w:sz w:val="19"/>
              </w:rPr>
            </w:r>
            <w:r>
              <w:rPr>
                <w:b/>
                <w:sz w:val="19"/>
                <w:highlight w:val="yellow"/>
              </w:rPr>
              <w:t>⟦ your name ⟧</w:t>
            </w:r>
          </w:p>
        </w:tc>
      </w:tr>
      <w:tr>
        <w:tc>
          <w:tcPr>
            <w:tcW w:type="dxa" w:w="2835"/>
          </w:tcPr>
          <w:p>
            <w:pPr>
              <w:spacing w:after="40"/>
            </w:pPr>
            <w:r>
              <w:rPr>
                <w:sz w:val="19"/>
              </w:rPr>
            </w:r>
            <w:r>
              <w:rPr>
                <w:sz w:val="19"/>
              </w:rPr>
              <w:t>Cardiff Met ID</w:t>
            </w:r>
          </w:p>
        </w:tc>
        <w:tc>
          <w:tcPr>
            <w:tcW w:type="dxa" w:w="5386"/>
          </w:tcPr>
          <w:p>
            <w:pPr>
              <w:spacing w:after="40"/>
            </w:pPr>
            <w:r>
              <w:rPr>
                <w:sz w:val="19"/>
              </w:rPr>
            </w:r>
            <w:r>
              <w:rPr>
                <w:b/>
                <w:sz w:val="19"/>
                <w:highlight w:val="yellow"/>
              </w:rPr>
              <w:t>⟦ ⟧</w:t>
            </w:r>
          </w:p>
        </w:tc>
      </w:tr>
      <w:tr>
        <w:tc>
          <w:tcPr>
            <w:tcW w:type="dxa" w:w="2835"/>
          </w:tcPr>
          <w:p>
            <w:pPr>
              <w:spacing w:after="40"/>
            </w:pPr>
            <w:r>
              <w:rPr>
                <w:sz w:val="19"/>
              </w:rPr>
            </w:r>
            <w:r>
              <w:rPr>
                <w:sz w:val="19"/>
              </w:rPr>
              <w:t>ICBT ID</w:t>
            </w:r>
          </w:p>
        </w:tc>
        <w:tc>
          <w:tcPr>
            <w:tcW w:type="dxa" w:w="5386"/>
          </w:tcPr>
          <w:p>
            <w:pPr>
              <w:spacing w:after="40"/>
            </w:pPr>
            <w:r>
              <w:rPr>
                <w:sz w:val="19"/>
              </w:rPr>
            </w:r>
            <w:r>
              <w:rPr>
                <w:b/>
                <w:sz w:val="19"/>
                <w:highlight w:val="yellow"/>
              </w:rPr>
              <w:t>⟦ ⟧</w:t>
            </w:r>
          </w:p>
        </w:tc>
      </w:tr>
      <w:tr>
        <w:tc>
          <w:tcPr>
            <w:tcW w:type="dxa" w:w="2835"/>
          </w:tcPr>
          <w:p>
            <w:pPr>
              <w:spacing w:after="40"/>
            </w:pPr>
            <w:r>
              <w:rPr>
                <w:sz w:val="19"/>
              </w:rPr>
            </w:r>
            <w:r>
              <w:rPr>
                <w:sz w:val="19"/>
              </w:rPr>
              <w:t>Batch Number</w:t>
            </w:r>
          </w:p>
        </w:tc>
        <w:tc>
          <w:tcPr>
            <w:tcW w:type="dxa" w:w="5386"/>
          </w:tcPr>
          <w:p>
            <w:pPr>
              <w:spacing w:after="40"/>
            </w:pPr>
            <w:r>
              <w:rPr>
                <w:sz w:val="19"/>
              </w:rPr>
            </w:r>
            <w:r>
              <w:rPr>
                <w:b/>
                <w:sz w:val="19"/>
                <w:highlight w:val="yellow"/>
              </w:rPr>
              <w:t>⟦ ⟧</w:t>
            </w:r>
          </w:p>
        </w:tc>
      </w:tr>
      <w:tr>
        <w:tc>
          <w:tcPr>
            <w:tcW w:type="dxa" w:w="2835"/>
          </w:tcPr>
          <w:p>
            <w:pPr>
              <w:spacing w:after="40"/>
            </w:pPr>
            <w:r>
              <w:rPr>
                <w:sz w:val="19"/>
              </w:rPr>
            </w:r>
            <w:r>
              <w:rPr>
                <w:sz w:val="19"/>
              </w:rPr>
              <w:t>Word count</w:t>
            </w:r>
          </w:p>
        </w:tc>
        <w:tc>
          <w:tcPr>
            <w:tcW w:type="dxa" w:w="5386"/>
          </w:tcPr>
          <w:p>
            <w:pPr>
              <w:spacing w:after="40"/>
            </w:pPr>
            <w:r>
              <w:rPr>
                <w:sz w:val="19"/>
              </w:rPr>
            </w:r>
            <w:r>
              <w:rPr>
                <w:b/>
                <w:sz w:val="19"/>
                <w:highlight w:val="yellow"/>
              </w:rPr>
              <w:t>⟦ fill after final trim — target 3,000 ⟧</w:t>
            </w:r>
          </w:p>
        </w:tc>
      </w:tr>
      <w:tr>
        <w:tc>
          <w:tcPr>
            <w:tcW w:type="dxa" w:w="2835"/>
          </w:tcPr>
          <w:p>
            <w:pPr>
              <w:spacing w:after="40"/>
            </w:pPr>
            <w:r>
              <w:rPr>
                <w:sz w:val="19"/>
              </w:rPr>
            </w:r>
            <w:r>
              <w:rPr>
                <w:sz w:val="19"/>
              </w:rPr>
              <w:t>Submission date</w:t>
            </w:r>
          </w:p>
        </w:tc>
        <w:tc>
          <w:tcPr>
            <w:tcW w:type="dxa" w:w="5386"/>
          </w:tcPr>
          <w:p>
            <w:pPr>
              <w:spacing w:after="40"/>
            </w:pPr>
            <w:r>
              <w:rPr>
                <w:sz w:val="19"/>
              </w:rPr>
            </w:r>
            <w:r>
              <w:rPr>
                <w:b/>
                <w:sz w:val="19"/>
                <w:highlight w:val="yellow"/>
              </w:rPr>
              <w:t>⟦ ⟧</w:t>
            </w:r>
          </w:p>
        </w:tc>
      </w:tr>
    </w:tbl>
    <w:p>
      <w:pPr>
        <w:spacing w:after="80"/>
      </w:pPr>
    </w:p>
    <w:p>
      <w:pPr>
        <w:spacing w:after="280"/>
      </w:pPr>
    </w:p>
    <w:p>
      <w:pPr>
        <w:jc w:val="center"/>
      </w:pPr>
      <w:r>
        <w:rPr>
          <w:i/>
          <w:color w:val="993300"/>
          <w:sz w:val="19"/>
        </w:rPr>
        <w:t>DRAFT v1 — not for submission. Every highlighted marker must be resolved and removed, every citation marked VERIFY must be confirmed against the source, and the text must be revised into the author’s own voice before submission. Declare the use of AI assistance in Appendix G.</w:t>
      </w:r>
    </w:p>
    <w:p>
      <w:r>
        <w:br w:type="page"/>
      </w:r>
    </w:p>
    <w:p>
      <w:pPr>
        <w:pStyle w:val="Heading1"/>
      </w:pPr>
      <w:r>
        <w:t>Contents</w:t>
      </w:r>
    </w:p>
    <w:p>
      <w:r>
        <w:fldChar w:fldCharType="begin"/>
        <w:instrText xml:space="preserve"> TOC \o "1-3" \h \z \u </w:instrText>
        <w:fldChar w:fldCharType="separate"/>
      </w:r>
      <w:r>
        <w:rPr>
          <w:i/>
        </w:rPr>
        <w:t>⟦ In Word: right-click here → Update Field → Update entire table ⟧</w:t>
      </w:r>
      <w:r>
        <w:fldChar w:fldCharType="end"/>
      </w:r>
    </w:p>
    <w:p>
      <w:r>
        <w:br w:type="page"/>
      </w:r>
    </w:p>
    <w:p>
      <w:pPr>
        <w:pStyle w:val="Heading1"/>
      </w:pPr>
      <w:r>
        <w:t>1. Introduction</w:t>
      </w:r>
    </w:p>
    <w:p>
      <w:pPr>
        <w:pStyle w:val="Heading2"/>
      </w:pPr>
      <w:r>
        <w:t>1.1 Problem and motivation</w:t>
      </w:r>
    </w:p>
    <w:p>
      <w:r>
        <w:t>Knowledge work is scheduled by the clock. Calendars allocate demanding tasks to whatever hour is free rather than to the hours in which a person is physiologically able to do them, a mismatch recognised as a source of lost productivity and strain (Roenneberg ‘et al.’, 2003)</w:t>
      </w:r>
      <w:r>
        <w:rPr>
          <w:b/>
          <w:highlight w:val="yellow"/>
        </w:rPr>
        <w:t>【VERIFY】</w:t>
      </w:r>
      <w:r>
        <w:t>. Consumer wearables now measure the signals that plausibly indicate readiness — sleep architecture, resting heart rate, heart-rate variability — continuously and unobtrusively.</w:t>
      </w:r>
    </w:p>
    <w:p>
      <w:r>
        <w:t xml:space="preserve">Two obstacles separate that measurement from a useful recommendation. Structurally, wearable data sits behind proprietary protocols and vendors do not disclose how their readiness scores are derived. Epistemically, those scores are presented with a precision their accuracy does not support, and none of that accuracy is published. AuraFlow addresses both: it recommends </w:t>
      </w:r>
      <w:r>
        <w:rPr>
          <w:b/>
        </w:rPr>
        <w:t>when</w:t>
      </w:r>
      <w:r>
        <w:t xml:space="preserve"> to schedule demanding work, computes that recommendation on the device from an interpretable model, and discloses how much of it rests on the user’s own data rather than a population median.</w:t>
      </w:r>
    </w:p>
    <w:p>
      <w:pPr>
        <w:pStyle w:val="Heading2"/>
      </w:pPr>
      <w:r>
        <w:t>1.2 Aim and objectives</w:t>
      </w:r>
    </w:p>
    <w:p>
      <w:r>
        <w:rPr>
          <w:b/>
        </w:rPr>
        <w:t>Aim:</w:t>
      </w:r>
      <w:r>
        <w:t xml:space="preserve"> to design, implement and critically evaluate a mobile lifestyle companion that recommends cognitively favourable working hours from wearable and contextual signals, and to establish whether such a recommendation is achievable at consumer-wearable fidelity.</w:t>
      </w:r>
    </w:p>
    <w:tbl>
      <w:tblPr>
        <w:tblStyle w:val="TableGrid"/>
        <w:tblW w:type="auto" w:w="0"/>
        <w:jc w:val="center"/>
        <w:tblLook w:firstColumn="1" w:firstRow="1" w:lastColumn="0" w:lastRow="0" w:noHBand="0" w:noVBand="1" w:val="04A0"/>
      </w:tblPr>
      <w:tblGrid>
        <w:gridCol w:w="4513"/>
        <w:gridCol w:w="4513"/>
      </w:tblGrid>
      <w:tr>
        <w:tc>
          <w:tcPr>
            <w:tcW w:type="dxa" w:w="907"/>
            <w:shd w:fill="D9E2F3"/>
          </w:tcPr>
          <w:p>
            <w:pPr>
              <w:spacing w:after="40"/>
            </w:pPr>
            <w:r>
              <w:rPr>
                <w:b/>
                <w:sz w:val="19"/>
              </w:rPr>
            </w:r>
          </w:p>
        </w:tc>
        <w:tc>
          <w:tcPr>
            <w:tcW w:type="dxa" w:w="7313"/>
            <w:shd w:fill="D9E2F3"/>
          </w:tcPr>
          <w:p>
            <w:pPr>
              <w:spacing w:after="40"/>
            </w:pPr>
            <w:r>
              <w:rPr>
                <w:b/>
                <w:sz w:val="19"/>
              </w:rPr>
            </w:r>
            <w:r>
              <w:rPr>
                <w:b/>
                <w:sz w:val="19"/>
              </w:rPr>
              <w:t>Objective</w:t>
            </w:r>
          </w:p>
        </w:tc>
      </w:tr>
      <w:tr>
        <w:tc>
          <w:tcPr>
            <w:tcW w:type="dxa" w:w="907"/>
          </w:tcPr>
          <w:p>
            <w:pPr>
              <w:spacing w:after="40"/>
            </w:pPr>
            <w:r>
              <w:rPr>
                <w:sz w:val="19"/>
              </w:rPr>
            </w:r>
            <w:r>
              <w:rPr>
                <w:b/>
                <w:sz w:val="19"/>
              </w:rPr>
              <w:t>O1</w:t>
            </w:r>
          </w:p>
        </w:tc>
        <w:tc>
          <w:tcPr>
            <w:tcW w:type="dxa" w:w="7313"/>
          </w:tcPr>
          <w:p>
            <w:pPr>
              <w:spacing w:after="40"/>
            </w:pPr>
            <w:r>
              <w:rPr>
                <w:sz w:val="19"/>
              </w:rPr>
            </w:r>
            <w:r>
              <w:rPr>
                <w:sz w:val="19"/>
              </w:rPr>
              <w:t>Compare existing intelligent lifestyle systems to establish a design gap.</w:t>
            </w:r>
          </w:p>
        </w:tc>
      </w:tr>
      <w:tr>
        <w:tc>
          <w:tcPr>
            <w:tcW w:type="dxa" w:w="907"/>
          </w:tcPr>
          <w:p>
            <w:pPr>
              <w:spacing w:after="40"/>
            </w:pPr>
            <w:r>
              <w:rPr>
                <w:sz w:val="19"/>
              </w:rPr>
            </w:r>
            <w:r>
              <w:rPr>
                <w:b/>
                <w:sz w:val="19"/>
              </w:rPr>
              <w:t>O2</w:t>
            </w:r>
          </w:p>
        </w:tc>
        <w:tc>
          <w:tcPr>
            <w:tcW w:type="dxa" w:w="7313"/>
          </w:tcPr>
          <w:p>
            <w:pPr>
              <w:spacing w:after="40"/>
            </w:pPr>
            <w:r>
              <w:rPr>
                <w:sz w:val="19"/>
              </w:rPr>
            </w:r>
            <w:r>
              <w:rPr>
                <w:sz w:val="19"/>
              </w:rPr>
              <w:t>Design a modular, secure, scalable architecture separating client from backend.</w:t>
            </w:r>
          </w:p>
        </w:tc>
      </w:tr>
      <w:tr>
        <w:tc>
          <w:tcPr>
            <w:tcW w:type="dxa" w:w="907"/>
          </w:tcPr>
          <w:p>
            <w:pPr>
              <w:spacing w:after="40"/>
            </w:pPr>
            <w:r>
              <w:rPr>
                <w:sz w:val="19"/>
              </w:rPr>
            </w:r>
            <w:r>
              <w:rPr>
                <w:b/>
                <w:sz w:val="19"/>
              </w:rPr>
              <w:t>O3</w:t>
            </w:r>
          </w:p>
        </w:tc>
        <w:tc>
          <w:tcPr>
            <w:tcW w:type="dxa" w:w="7313"/>
          </w:tcPr>
          <w:p>
            <w:pPr>
              <w:spacing w:after="40"/>
            </w:pPr>
            <w:r>
              <w:rPr>
                <w:sz w:val="19"/>
              </w:rPr>
            </w:r>
            <w:r>
              <w:rPr>
                <w:sz w:val="19"/>
              </w:rPr>
              <w:t>Implement a cross-platform application integrating on-device machine learning, a server-side language model, wearable and IoT sensing, and computer vision.</w:t>
            </w:r>
          </w:p>
        </w:tc>
      </w:tr>
      <w:tr>
        <w:tc>
          <w:tcPr>
            <w:tcW w:type="dxa" w:w="907"/>
          </w:tcPr>
          <w:p>
            <w:pPr>
              <w:spacing w:after="40"/>
            </w:pPr>
            <w:r>
              <w:rPr>
                <w:sz w:val="19"/>
              </w:rPr>
            </w:r>
            <w:r>
              <w:rPr>
                <w:b/>
                <w:sz w:val="19"/>
              </w:rPr>
              <w:t>O4</w:t>
            </w:r>
          </w:p>
        </w:tc>
        <w:tc>
          <w:tcPr>
            <w:tcW w:type="dxa" w:w="7313"/>
          </w:tcPr>
          <w:p>
            <w:pPr>
              <w:spacing w:after="40"/>
            </w:pPr>
            <w:r>
              <w:rPr>
                <w:sz w:val="19"/>
              </w:rPr>
            </w:r>
            <w:r>
              <w:rPr>
                <w:sz w:val="19"/>
              </w:rPr>
              <w:t>Evaluate predictive performance against explicit baselines under participant-wise validation.</w:t>
            </w:r>
          </w:p>
        </w:tc>
      </w:tr>
      <w:tr>
        <w:tc>
          <w:tcPr>
            <w:tcW w:type="dxa" w:w="907"/>
          </w:tcPr>
          <w:p>
            <w:pPr>
              <w:spacing w:after="40"/>
            </w:pPr>
            <w:r>
              <w:rPr>
                <w:sz w:val="19"/>
              </w:rPr>
            </w:r>
            <w:r>
              <w:rPr>
                <w:b/>
                <w:sz w:val="19"/>
              </w:rPr>
              <w:t>O5</w:t>
            </w:r>
          </w:p>
        </w:tc>
        <w:tc>
          <w:tcPr>
            <w:tcW w:type="dxa" w:w="7313"/>
          </w:tcPr>
          <w:p>
            <w:pPr>
              <w:spacing w:after="40"/>
            </w:pPr>
            <w:r>
              <w:rPr>
                <w:sz w:val="19"/>
              </w:rPr>
            </w:r>
            <w:r>
              <w:rPr>
                <w:sz w:val="19"/>
              </w:rPr>
              <w:t>Evaluate usability, performance and security, and report limitations without overstatement.</w:t>
            </w:r>
          </w:p>
        </w:tc>
      </w:tr>
    </w:tbl>
    <w:p>
      <w:pPr>
        <w:spacing w:after="80"/>
      </w:pPr>
    </w:p>
    <w:p>
      <w:pPr>
        <w:pStyle w:val="Heading2"/>
      </w:pPr>
      <w:r>
        <w:t>1.3 Contributions and report structure</w:t>
      </w:r>
    </w:p>
    <w:p>
      <w:r>
        <w:t>The report contributes measured primary evidence of vendor lock-in in a consumer wearable, obtained by protocol inspection rather than cited (§3.3); the finding that wearable biometrics add almost nothing to hour-level readiness prediction over time-of-day alone, against the project’s own founding premise (§5.4); and an architecture that discloses that weakness rather than concealing it (§4.4). Section 2 reviews related systems and theory, Section 3 the methodology, Section 4 design and implementation, Section 5 the evaluation, and Section 6 concludes.</w:t>
      </w:r>
    </w:p>
    <w:p>
      <w:pPr>
        <w:pStyle w:val="Heading1"/>
      </w:pPr>
      <w:r>
        <w:t>2. Literature Review</w:t>
      </w:r>
    </w:p>
    <w:p>
      <w:pPr>
        <w:pStyle w:val="Heading2"/>
      </w:pPr>
      <w:r>
        <w:t>2.1 Context-aware and intelligent mobile systems</w:t>
      </w:r>
    </w:p>
    <w:p>
      <w:r>
        <w:t>Context-aware computing was formalised by Dey (2001) and Abowd ‘et al.’ (1999), and mobile platforms have since made its sensing substrate ubiquitous. Three shifts changed what a handset can do: on-device inference removed the network round trip; large language models moved assistance from scripted intent matching to open dialogue; and wearable sensing extended context from the device’s environment to the user’s physiology. The result is applications that predict capability rather than merely record behaviour — importing a burden the recording generation did not carry, since a prediction can be wrong and a system that predicts owes its user an account of how often.</w:t>
      </w:r>
    </w:p>
    <w:p>
      <w:pPr>
        <w:pStyle w:val="Heading2"/>
      </w:pPr>
      <w:r>
        <w:t>2.2 Critical comparison of existing systems</w:t>
      </w:r>
    </w:p>
    <w:p>
      <w:pPr>
        <w:pStyle w:val="CaptionText"/>
      </w:pPr>
      <w:r>
        <w:t>Table 1 — Comparison of existing intelligent lifestyle systems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587"/>
            <w:shd w:fill="D9E2F3"/>
          </w:tcPr>
          <w:p>
            <w:pPr>
              <w:spacing w:after="40"/>
            </w:pPr>
            <w:r>
              <w:rPr>
                <w:b/>
                <w:sz w:val="19"/>
              </w:rPr>
            </w:r>
            <w:r>
              <w:rPr>
                <w:b/>
                <w:sz w:val="19"/>
              </w:rPr>
              <w:t>System</w:t>
            </w:r>
          </w:p>
        </w:tc>
        <w:tc>
          <w:tcPr>
            <w:tcW w:type="dxa" w:w="2494"/>
            <w:shd w:fill="D9E2F3"/>
          </w:tcPr>
          <w:p>
            <w:pPr>
              <w:spacing w:after="40"/>
            </w:pPr>
            <w:r>
              <w:rPr>
                <w:b/>
                <w:sz w:val="19"/>
              </w:rPr>
            </w:r>
            <w:r>
              <w:rPr>
                <w:b/>
                <w:sz w:val="19"/>
              </w:rPr>
              <w:t>Intelligence</w:t>
            </w:r>
          </w:p>
        </w:tc>
        <w:tc>
          <w:tcPr>
            <w:tcW w:type="dxa" w:w="1077"/>
            <w:shd w:fill="D9E2F3"/>
          </w:tcPr>
          <w:p>
            <w:pPr>
              <w:spacing w:after="40"/>
            </w:pPr>
            <w:r>
              <w:rPr>
                <w:b/>
                <w:sz w:val="19"/>
              </w:rPr>
            </w:r>
            <w:r>
              <w:rPr>
                <w:b/>
                <w:sz w:val="19"/>
              </w:rPr>
              <w:t>On device</w:t>
            </w:r>
          </w:p>
        </w:tc>
        <w:tc>
          <w:tcPr>
            <w:tcW w:type="dxa" w:w="1474"/>
            <w:shd w:fill="D9E2F3"/>
          </w:tcPr>
          <w:p>
            <w:pPr>
              <w:spacing w:after="40"/>
            </w:pPr>
            <w:r>
              <w:rPr>
                <w:b/>
                <w:sz w:val="19"/>
              </w:rPr>
            </w:r>
            <w:r>
              <w:rPr>
                <w:b/>
                <w:sz w:val="19"/>
              </w:rPr>
              <w:t>Publishes accuracy</w:t>
            </w:r>
          </w:p>
        </w:tc>
        <w:tc>
          <w:tcPr>
            <w:tcW w:type="dxa" w:w="1587"/>
            <w:shd w:fill="D9E2F3"/>
          </w:tcPr>
          <w:p>
            <w:pPr>
              <w:spacing w:after="40"/>
            </w:pPr>
            <w:r>
              <w:rPr>
                <w:b/>
                <w:sz w:val="19"/>
              </w:rPr>
            </w:r>
            <w:r>
              <w:rPr>
                <w:b/>
                <w:sz w:val="19"/>
              </w:rPr>
              <w:t>Discloses provenance</w:t>
            </w:r>
          </w:p>
        </w:tc>
      </w:tr>
      <w:tr>
        <w:tc>
          <w:tcPr>
            <w:tcW w:type="dxa" w:w="1587"/>
          </w:tcPr>
          <w:p>
            <w:pPr>
              <w:spacing w:after="40"/>
            </w:pPr>
            <w:r>
              <w:rPr>
                <w:sz w:val="19"/>
              </w:rPr>
            </w:r>
            <w:r>
              <w:rPr>
                <w:sz w:val="19"/>
              </w:rPr>
              <w:t>Whoop</w:t>
            </w:r>
          </w:p>
        </w:tc>
        <w:tc>
          <w:tcPr>
            <w:tcW w:type="dxa" w:w="2494"/>
          </w:tcPr>
          <w:p>
            <w:pPr>
              <w:spacing w:after="40"/>
            </w:pPr>
            <w:r>
              <w:rPr>
                <w:sz w:val="19"/>
              </w:rPr>
            </w:r>
            <w:r>
              <w:rPr>
                <w:sz w:val="19"/>
              </w:rPr>
              <w:t>Proprietary recovery model</w:t>
            </w:r>
          </w:p>
        </w:tc>
        <w:tc>
          <w:tcPr>
            <w:tcW w:type="dxa" w:w="1077"/>
          </w:tcPr>
          <w:p>
            <w:pPr>
              <w:spacing w:after="40"/>
            </w:pPr>
            <w:r>
              <w:rPr>
                <w:sz w:val="19"/>
              </w:rPr>
            </w:r>
            <w:r>
              <w:rPr>
                <w:sz w:val="19"/>
              </w:rPr>
              <w:t>No</w:t>
            </w:r>
          </w:p>
        </w:tc>
        <w:tc>
          <w:tcPr>
            <w:tcW w:type="dxa" w:w="1474"/>
          </w:tcPr>
          <w:p>
            <w:pPr>
              <w:spacing w:after="40"/>
            </w:pPr>
            <w:r>
              <w:rPr>
                <w:sz w:val="19"/>
              </w:rPr>
            </w:r>
            <w:r>
              <w:rPr>
                <w:sz w:val="19"/>
              </w:rPr>
              <w:t>No</w:t>
            </w:r>
          </w:p>
        </w:tc>
        <w:tc>
          <w:tcPr>
            <w:tcW w:type="dxa" w:w="1587"/>
          </w:tcPr>
          <w:p>
            <w:pPr>
              <w:spacing w:after="40"/>
            </w:pPr>
            <w:r>
              <w:rPr>
                <w:sz w:val="19"/>
              </w:rPr>
            </w:r>
            <w:r>
              <w:rPr>
                <w:sz w:val="19"/>
              </w:rPr>
              <w:t>No</w:t>
            </w:r>
          </w:p>
        </w:tc>
      </w:tr>
      <w:tr>
        <w:tc>
          <w:tcPr>
            <w:tcW w:type="dxa" w:w="1587"/>
          </w:tcPr>
          <w:p>
            <w:pPr>
              <w:spacing w:after="40"/>
            </w:pPr>
            <w:r>
              <w:rPr>
                <w:sz w:val="19"/>
              </w:rPr>
            </w:r>
            <w:r>
              <w:rPr>
                <w:sz w:val="19"/>
              </w:rPr>
              <w:t>Oura</w:t>
            </w:r>
          </w:p>
        </w:tc>
        <w:tc>
          <w:tcPr>
            <w:tcW w:type="dxa" w:w="2494"/>
          </w:tcPr>
          <w:p>
            <w:pPr>
              <w:spacing w:after="40"/>
            </w:pPr>
            <w:r>
              <w:rPr>
                <w:sz w:val="19"/>
              </w:rPr>
            </w:r>
            <w:r>
              <w:rPr>
                <w:sz w:val="19"/>
              </w:rPr>
              <w:t>Proprietary readiness score</w:t>
            </w:r>
          </w:p>
        </w:tc>
        <w:tc>
          <w:tcPr>
            <w:tcW w:type="dxa" w:w="1077"/>
          </w:tcPr>
          <w:p>
            <w:pPr>
              <w:spacing w:after="40"/>
            </w:pPr>
            <w:r>
              <w:rPr>
                <w:sz w:val="19"/>
              </w:rPr>
            </w:r>
            <w:r>
              <w:rPr>
                <w:sz w:val="19"/>
              </w:rPr>
              <w:t>Partial</w:t>
            </w:r>
          </w:p>
        </w:tc>
        <w:tc>
          <w:tcPr>
            <w:tcW w:type="dxa" w:w="1474"/>
          </w:tcPr>
          <w:p>
            <w:pPr>
              <w:spacing w:after="40"/>
            </w:pPr>
            <w:r>
              <w:rPr>
                <w:sz w:val="19"/>
              </w:rPr>
            </w:r>
            <w:r>
              <w:rPr>
                <w:sz w:val="19"/>
              </w:rPr>
              <w:t>No</w:t>
            </w:r>
          </w:p>
        </w:tc>
        <w:tc>
          <w:tcPr>
            <w:tcW w:type="dxa" w:w="1587"/>
          </w:tcPr>
          <w:p>
            <w:pPr>
              <w:spacing w:after="40"/>
            </w:pPr>
            <w:r>
              <w:rPr>
                <w:sz w:val="19"/>
              </w:rPr>
            </w:r>
            <w:r>
              <w:rPr>
                <w:sz w:val="19"/>
              </w:rPr>
              <w:t>No</w:t>
            </w:r>
          </w:p>
        </w:tc>
      </w:tr>
      <w:tr>
        <w:tc>
          <w:tcPr>
            <w:tcW w:type="dxa" w:w="1587"/>
          </w:tcPr>
          <w:p>
            <w:pPr>
              <w:spacing w:after="40"/>
            </w:pPr>
            <w:r>
              <w:rPr>
                <w:sz w:val="19"/>
              </w:rPr>
            </w:r>
            <w:r>
              <w:rPr>
                <w:sz w:val="19"/>
              </w:rPr>
              <w:t>Fitbit Premium</w:t>
            </w:r>
          </w:p>
        </w:tc>
        <w:tc>
          <w:tcPr>
            <w:tcW w:type="dxa" w:w="2494"/>
          </w:tcPr>
          <w:p>
            <w:pPr>
              <w:spacing w:after="40"/>
            </w:pPr>
            <w:r>
              <w:rPr>
                <w:sz w:val="19"/>
              </w:rPr>
            </w:r>
            <w:r>
              <w:rPr>
                <w:sz w:val="19"/>
              </w:rPr>
              <w:t>Sleep and readiness scores</w:t>
            </w:r>
          </w:p>
        </w:tc>
        <w:tc>
          <w:tcPr>
            <w:tcW w:type="dxa" w:w="1077"/>
          </w:tcPr>
          <w:p>
            <w:pPr>
              <w:spacing w:after="40"/>
            </w:pPr>
            <w:r>
              <w:rPr>
                <w:sz w:val="19"/>
              </w:rPr>
            </w:r>
            <w:r>
              <w:rPr>
                <w:sz w:val="19"/>
              </w:rPr>
              <w:t>No</w:t>
            </w:r>
          </w:p>
        </w:tc>
        <w:tc>
          <w:tcPr>
            <w:tcW w:type="dxa" w:w="1474"/>
          </w:tcPr>
          <w:p>
            <w:pPr>
              <w:spacing w:after="40"/>
            </w:pPr>
            <w:r>
              <w:rPr>
                <w:sz w:val="19"/>
              </w:rPr>
            </w:r>
            <w:r>
              <w:rPr>
                <w:sz w:val="19"/>
              </w:rPr>
              <w:t>No</w:t>
            </w:r>
          </w:p>
        </w:tc>
        <w:tc>
          <w:tcPr>
            <w:tcW w:type="dxa" w:w="1587"/>
          </w:tcPr>
          <w:p>
            <w:pPr>
              <w:spacing w:after="40"/>
            </w:pPr>
            <w:r>
              <w:rPr>
                <w:sz w:val="19"/>
              </w:rPr>
            </w:r>
            <w:r>
              <w:rPr>
                <w:sz w:val="19"/>
              </w:rPr>
              <w:t>No</w:t>
            </w:r>
          </w:p>
        </w:tc>
      </w:tr>
      <w:tr>
        <w:tc>
          <w:tcPr>
            <w:tcW w:type="dxa" w:w="1587"/>
          </w:tcPr>
          <w:p>
            <w:pPr>
              <w:spacing w:after="40"/>
            </w:pPr>
            <w:r>
              <w:rPr>
                <w:sz w:val="19"/>
              </w:rPr>
            </w:r>
            <w:r>
              <w:rPr>
                <w:sz w:val="19"/>
              </w:rPr>
              <w:t>Rise Science</w:t>
            </w:r>
          </w:p>
        </w:tc>
        <w:tc>
          <w:tcPr>
            <w:tcW w:type="dxa" w:w="2494"/>
          </w:tcPr>
          <w:p>
            <w:pPr>
              <w:spacing w:after="40"/>
            </w:pPr>
            <w:r>
              <w:rPr>
                <w:sz w:val="19"/>
              </w:rPr>
            </w:r>
            <w:r>
              <w:rPr>
                <w:sz w:val="19"/>
              </w:rPr>
              <w:t>Circadian sleep-debt model</w:t>
            </w:r>
          </w:p>
        </w:tc>
        <w:tc>
          <w:tcPr>
            <w:tcW w:type="dxa" w:w="1077"/>
          </w:tcPr>
          <w:p>
            <w:pPr>
              <w:spacing w:after="40"/>
            </w:pPr>
            <w:r>
              <w:rPr>
                <w:sz w:val="19"/>
              </w:rPr>
            </w:r>
            <w:r>
              <w:rPr>
                <w:sz w:val="19"/>
              </w:rPr>
              <w:t>No</w:t>
            </w:r>
          </w:p>
        </w:tc>
        <w:tc>
          <w:tcPr>
            <w:tcW w:type="dxa" w:w="1474"/>
          </w:tcPr>
          <w:p>
            <w:pPr>
              <w:spacing w:after="40"/>
            </w:pPr>
            <w:r>
              <w:rPr>
                <w:sz w:val="19"/>
              </w:rPr>
            </w:r>
            <w:r>
              <w:rPr>
                <w:sz w:val="19"/>
              </w:rPr>
              <w:t>No</w:t>
            </w:r>
          </w:p>
        </w:tc>
        <w:tc>
          <w:tcPr>
            <w:tcW w:type="dxa" w:w="1587"/>
          </w:tcPr>
          <w:p>
            <w:pPr>
              <w:spacing w:after="40"/>
            </w:pPr>
            <w:r>
              <w:rPr>
                <w:sz w:val="19"/>
              </w:rPr>
            </w:r>
            <w:r>
              <w:rPr>
                <w:sz w:val="19"/>
              </w:rPr>
              <w:t>No</w:t>
            </w:r>
          </w:p>
        </w:tc>
      </w:tr>
      <w:tr>
        <w:tc>
          <w:tcPr>
            <w:tcW w:type="dxa" w:w="1587"/>
          </w:tcPr>
          <w:p>
            <w:pPr>
              <w:spacing w:after="40"/>
            </w:pPr>
            <w:r>
              <w:rPr>
                <w:sz w:val="19"/>
              </w:rPr>
            </w:r>
            <w:r>
              <w:rPr>
                <w:sz w:val="19"/>
              </w:rPr>
              <w:t>Reclaim.ai</w:t>
            </w:r>
          </w:p>
        </w:tc>
        <w:tc>
          <w:tcPr>
            <w:tcW w:type="dxa" w:w="2494"/>
          </w:tcPr>
          <w:p>
            <w:pPr>
              <w:spacing w:after="40"/>
            </w:pPr>
            <w:r>
              <w:rPr>
                <w:sz w:val="19"/>
              </w:rPr>
            </w:r>
            <w:r>
              <w:rPr>
                <w:sz w:val="19"/>
              </w:rPr>
              <w:t>Calendar heuristics only</w:t>
            </w:r>
          </w:p>
        </w:tc>
        <w:tc>
          <w:tcPr>
            <w:tcW w:type="dxa" w:w="1077"/>
          </w:tcPr>
          <w:p>
            <w:pPr>
              <w:spacing w:after="40"/>
            </w:pPr>
            <w:r>
              <w:rPr>
                <w:sz w:val="19"/>
              </w:rPr>
            </w:r>
            <w:r>
              <w:rPr>
                <w:sz w:val="19"/>
              </w:rPr>
              <w:t>No</w:t>
            </w:r>
          </w:p>
        </w:tc>
        <w:tc>
          <w:tcPr>
            <w:tcW w:type="dxa" w:w="1474"/>
          </w:tcPr>
          <w:p>
            <w:pPr>
              <w:spacing w:after="40"/>
            </w:pPr>
            <w:r>
              <w:rPr>
                <w:sz w:val="19"/>
              </w:rPr>
            </w:r>
            <w:r>
              <w:rPr>
                <w:sz w:val="19"/>
              </w:rPr>
              <w:t>n/a</w:t>
            </w:r>
          </w:p>
        </w:tc>
        <w:tc>
          <w:tcPr>
            <w:tcW w:type="dxa" w:w="1587"/>
          </w:tcPr>
          <w:p>
            <w:pPr>
              <w:spacing w:after="40"/>
            </w:pPr>
            <w:r>
              <w:rPr>
                <w:sz w:val="19"/>
              </w:rPr>
            </w:r>
            <w:r>
              <w:rPr>
                <w:sz w:val="19"/>
              </w:rPr>
              <w:t>n/a</w:t>
            </w:r>
          </w:p>
        </w:tc>
      </w:tr>
      <w:tr>
        <w:tc>
          <w:tcPr>
            <w:tcW w:type="dxa" w:w="1587"/>
          </w:tcPr>
          <w:p>
            <w:pPr>
              <w:spacing w:after="40"/>
            </w:pPr>
            <w:r>
              <w:rPr>
                <w:sz w:val="19"/>
              </w:rPr>
            </w:r>
            <w:r>
              <w:rPr>
                <w:sz w:val="19"/>
              </w:rPr>
              <w:t>Samsung Health</w:t>
            </w:r>
          </w:p>
        </w:tc>
        <w:tc>
          <w:tcPr>
            <w:tcW w:type="dxa" w:w="2494"/>
          </w:tcPr>
          <w:p>
            <w:pPr>
              <w:spacing w:after="40"/>
            </w:pPr>
            <w:r>
              <w:rPr>
                <w:sz w:val="19"/>
              </w:rPr>
            </w:r>
            <w:r>
              <w:rPr>
                <w:sz w:val="19"/>
              </w:rPr>
              <w:t>Aggregation and scores</w:t>
            </w:r>
          </w:p>
        </w:tc>
        <w:tc>
          <w:tcPr>
            <w:tcW w:type="dxa" w:w="1077"/>
          </w:tcPr>
          <w:p>
            <w:pPr>
              <w:spacing w:after="40"/>
            </w:pPr>
            <w:r>
              <w:rPr>
                <w:sz w:val="19"/>
              </w:rPr>
            </w:r>
            <w:r>
              <w:rPr>
                <w:sz w:val="19"/>
              </w:rPr>
              <w:t>Partial</w:t>
            </w:r>
          </w:p>
        </w:tc>
        <w:tc>
          <w:tcPr>
            <w:tcW w:type="dxa" w:w="1474"/>
          </w:tcPr>
          <w:p>
            <w:pPr>
              <w:spacing w:after="40"/>
            </w:pPr>
            <w:r>
              <w:rPr>
                <w:sz w:val="19"/>
              </w:rPr>
            </w:r>
            <w:r>
              <w:rPr>
                <w:sz w:val="19"/>
              </w:rPr>
              <w:t>No</w:t>
            </w:r>
          </w:p>
        </w:tc>
        <w:tc>
          <w:tcPr>
            <w:tcW w:type="dxa" w:w="1587"/>
          </w:tcPr>
          <w:p>
            <w:pPr>
              <w:spacing w:after="40"/>
            </w:pPr>
            <w:r>
              <w:rPr>
                <w:sz w:val="19"/>
              </w:rPr>
            </w:r>
            <w:r>
              <w:rPr>
                <w:sz w:val="19"/>
              </w:rPr>
              <w:t>No</w:t>
            </w:r>
          </w:p>
        </w:tc>
      </w:tr>
      <w:tr>
        <w:tc>
          <w:tcPr>
            <w:tcW w:type="dxa" w:w="1587"/>
          </w:tcPr>
          <w:p>
            <w:pPr>
              <w:spacing w:after="40"/>
            </w:pPr>
            <w:r>
              <w:rPr>
                <w:sz w:val="19"/>
              </w:rPr>
            </w:r>
            <w:r>
              <w:rPr>
                <w:b/>
                <w:sz w:val="19"/>
              </w:rPr>
              <w:t>AuraFlow</w:t>
            </w:r>
          </w:p>
        </w:tc>
        <w:tc>
          <w:tcPr>
            <w:tcW w:type="dxa" w:w="2494"/>
          </w:tcPr>
          <w:p>
            <w:pPr>
              <w:spacing w:after="40"/>
            </w:pPr>
            <w:r>
              <w:rPr>
                <w:sz w:val="19"/>
              </w:rPr>
            </w:r>
            <w:r>
              <w:rPr>
                <w:b/>
                <w:sz w:val="19"/>
              </w:rPr>
              <w:t>Interpretable on-device model</w:t>
            </w:r>
          </w:p>
        </w:tc>
        <w:tc>
          <w:tcPr>
            <w:tcW w:type="dxa" w:w="1077"/>
          </w:tcPr>
          <w:p>
            <w:pPr>
              <w:spacing w:after="40"/>
            </w:pPr>
            <w:r>
              <w:rPr>
                <w:sz w:val="19"/>
              </w:rPr>
            </w:r>
            <w:r>
              <w:rPr>
                <w:b/>
                <w:sz w:val="19"/>
              </w:rPr>
              <w:t>Yes</w:t>
            </w:r>
          </w:p>
        </w:tc>
        <w:tc>
          <w:tcPr>
            <w:tcW w:type="dxa" w:w="1474"/>
          </w:tcPr>
          <w:p>
            <w:pPr>
              <w:spacing w:after="40"/>
            </w:pPr>
            <w:r>
              <w:rPr>
                <w:sz w:val="19"/>
              </w:rPr>
            </w:r>
            <w:r>
              <w:rPr>
                <w:b/>
                <w:sz w:val="19"/>
              </w:rPr>
              <w:t>Yes (§5.4)</w:t>
            </w:r>
          </w:p>
        </w:tc>
        <w:tc>
          <w:tcPr>
            <w:tcW w:type="dxa" w:w="1587"/>
          </w:tcPr>
          <w:p>
            <w:pPr>
              <w:spacing w:after="40"/>
            </w:pPr>
            <w:r>
              <w:rPr>
                <w:sz w:val="19"/>
              </w:rPr>
            </w:r>
            <w:r>
              <w:rPr>
                <w:b/>
                <w:sz w:val="19"/>
              </w:rPr>
              <w:t>Yes (§4.4)</w:t>
            </w:r>
          </w:p>
        </w:tc>
      </w:tr>
    </w:tbl>
    <w:p>
      <w:pPr>
        <w:spacing w:after="80"/>
      </w:pPr>
    </w:p>
    <w:p>
      <w:r>
        <w:t>Two patterns emerge. Biometric systems produce a readiness figure but stop short of acting on it, and none reports the predictive validity of the score it sells; scheduling systems act, but on calendar heuristics with no physiological input. No system closes the loop from measured physiology to a scheduling decision while disclosing how reliable that decision is.</w:t>
      </w:r>
    </w:p>
    <w:p>
      <w:pPr>
        <w:pStyle w:val="Heading2"/>
      </w:pPr>
      <w:r>
        <w:t>2.3 Theoretical foundations</w:t>
      </w:r>
    </w:p>
    <w:p>
      <w:r>
        <w:rPr>
          <w:b/>
        </w:rPr>
        <w:t>Russell’s (1980) circumplex model</w:t>
      </w:r>
      <w:r>
        <w:t xml:space="preserve"> decomposes affect into valence (pleasant–unpleasant) and arousal (activated–deactivated), predicting which subjective states a wearable can reach: heart rate, HRV, sleep pressure and movement are correlates of arousal and offer no privileged access to valence. §3.3 uses this to choose the prediction target; §5.4 tests the prediction. </w:t>
      </w:r>
      <w:r>
        <w:rPr>
          <w:b/>
        </w:rPr>
        <w:t>Borbély’s (1982) two-process model</w:t>
      </w:r>
      <w:r>
        <w:t xml:space="preserve"> describes alertness as a circadian oscillator interacting with homeostatic sleep pressure, motivating the cyclical hour encoding of §4.3. </w:t>
      </w:r>
      <w:r>
        <w:rPr>
          <w:b/>
        </w:rPr>
        <w:t>Self-Determination Theory</w:t>
      </w:r>
      <w:r>
        <w:t xml:space="preserve"> (Deci and Ryan, 2000) holds autonomy to be a precondition of sustained motivation, so the system suggests hours rather than rewriting a calendar. </w:t>
      </w:r>
      <w:r>
        <w:rPr>
          <w:b/>
        </w:rPr>
        <w:t>Nielsen’s (1994) heuristics</w:t>
      </w:r>
      <w:r>
        <w:t xml:space="preserve"> — in particular visibility of system status — inform the disclosure interface (§4.4) and supply the instrument of §5.3.</w:t>
      </w:r>
    </w:p>
    <w:p>
      <w:pPr>
        <w:pStyle w:val="Heading2"/>
      </w:pPr>
      <w:r>
        <w:t>2.4 The gap</w:t>
      </w:r>
    </w:p>
    <w:p>
      <w:r>
        <w:t>Existing systems are opaque in two ways: they do not disclose how much of a recommendation derives from the individual’s own data rather than population defaults, and they do not publish the predictive validity of the scores they ask users to act on. The wearable-validity literature documents substantial measurement error in consumer devices (Haghayegh ‘et al.’, 2019)</w:t>
      </w:r>
      <w:r>
        <w:rPr>
          <w:b/>
          <w:highlight w:val="yellow"/>
        </w:rPr>
        <w:t>【VERIFY】</w:t>
      </w:r>
      <w:r>
        <w:t>, yet applications built on them present their outputs without corresponding uncertainty. AuraFlow closes both gaps, and Section 5 reports its own accuracy in the terms this section finds missing.</w:t>
      </w:r>
    </w:p>
    <w:p>
      <w:pPr>
        <w:pStyle w:val="Heading1"/>
      </w:pPr>
      <w:r>
        <w:t>3. Methodology</w:t>
      </w:r>
    </w:p>
    <w:p>
      <w:pPr>
        <w:pStyle w:val="Heading2"/>
      </w:pPr>
      <w:r>
        <w:t>3.1 Development approach</w:t>
      </w:r>
    </w:p>
    <w:p>
      <w:r>
        <w:t>Development followed an incremental, iterative lifecycle, delivering vertical slices spanning model, API and interface so that each increment was demonstrable rather than merely complete at one layer. This suited a project whose central risk — whether the prediction target carried any signal at all — could only be retired by building enough of the pipeline to measure it. Two practices support the audit trail this report relies on: eight Architecture Decision Records (Nygard, 2011)</w:t>
      </w:r>
      <w:r>
        <w:rPr>
          <w:b/>
          <w:highlight w:val="yellow"/>
        </w:rPr>
        <w:t>【VERIFY】</w:t>
      </w:r>
      <w:r>
        <w:t xml:space="preserve"> document each significant choice and its rejected alternatives, and Conventional Commits across 45 commits state why each change was made rather than only what. Continuous integration runs the full test suite on every push.</w:t>
      </w:r>
    </w:p>
    <w:p>
      <w:pPr>
        <w:pStyle w:val="Heading2"/>
      </w:pPr>
      <w:r>
        <w:t>3.2 Technology stack and justification</w:t>
      </w:r>
    </w:p>
    <w:p>
      <w:pPr>
        <w:pStyle w:val="CaptionText"/>
      </w:pPr>
      <w:r>
        <w:t>Table 2 — Technology selection and justification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077"/>
            <w:shd w:fill="D9E2F3"/>
          </w:tcPr>
          <w:p>
            <w:pPr>
              <w:spacing w:after="40"/>
            </w:pPr>
            <w:r>
              <w:rPr>
                <w:b/>
                <w:sz w:val="19"/>
              </w:rPr>
            </w:r>
            <w:r>
              <w:rPr>
                <w:b/>
                <w:sz w:val="19"/>
              </w:rPr>
              <w:t>Layer</w:t>
            </w:r>
          </w:p>
        </w:tc>
        <w:tc>
          <w:tcPr>
            <w:tcW w:type="dxa" w:w="1928"/>
            <w:shd w:fill="D9E2F3"/>
          </w:tcPr>
          <w:p>
            <w:pPr>
              <w:spacing w:after="40"/>
            </w:pPr>
            <w:r>
              <w:rPr>
                <w:b/>
                <w:sz w:val="19"/>
              </w:rPr>
            </w:r>
            <w:r>
              <w:rPr>
                <w:b/>
                <w:sz w:val="19"/>
              </w:rPr>
              <w:t>Selected</w:t>
            </w:r>
          </w:p>
        </w:tc>
        <w:tc>
          <w:tcPr>
            <w:tcW w:type="dxa" w:w="2721"/>
            <w:shd w:fill="D9E2F3"/>
          </w:tcPr>
          <w:p>
            <w:pPr>
              <w:spacing w:after="40"/>
            </w:pPr>
            <w:r>
              <w:rPr>
                <w:b/>
                <w:sz w:val="19"/>
              </w:rPr>
            </w:r>
            <w:r>
              <w:rPr>
                <w:b/>
                <w:sz w:val="19"/>
              </w:rPr>
              <w:t>Rationale</w:t>
            </w:r>
          </w:p>
        </w:tc>
        <w:tc>
          <w:tcPr>
            <w:tcW w:type="dxa" w:w="2494"/>
            <w:shd w:fill="D9E2F3"/>
          </w:tcPr>
          <w:p>
            <w:pPr>
              <w:spacing w:after="40"/>
            </w:pPr>
            <w:r>
              <w:rPr>
                <w:b/>
                <w:sz w:val="19"/>
              </w:rPr>
            </w:r>
            <w:r>
              <w:rPr>
                <w:b/>
                <w:sz w:val="19"/>
              </w:rPr>
              <w:t>Rejected</w:t>
            </w:r>
          </w:p>
        </w:tc>
      </w:tr>
      <w:tr>
        <w:tc>
          <w:tcPr>
            <w:tcW w:type="dxa" w:w="1077"/>
          </w:tcPr>
          <w:p>
            <w:pPr>
              <w:spacing w:after="40"/>
            </w:pPr>
            <w:r>
              <w:rPr>
                <w:sz w:val="19"/>
              </w:rPr>
            </w:r>
            <w:r>
              <w:rPr>
                <w:sz w:val="19"/>
              </w:rPr>
              <w:t>Mobile</w:t>
            </w:r>
          </w:p>
        </w:tc>
        <w:tc>
          <w:tcPr>
            <w:tcW w:type="dxa" w:w="1928"/>
          </w:tcPr>
          <w:p>
            <w:pPr>
              <w:spacing w:after="40"/>
            </w:pPr>
            <w:r>
              <w:rPr>
                <w:sz w:val="19"/>
              </w:rPr>
            </w:r>
            <w:r>
              <w:rPr>
                <w:sz w:val="19"/>
              </w:rPr>
              <w:t>React Native (Expo 54), TypeScript</w:t>
            </w:r>
          </w:p>
        </w:tc>
        <w:tc>
          <w:tcPr>
            <w:tcW w:type="dxa" w:w="2721"/>
          </w:tcPr>
          <w:p>
            <w:pPr>
              <w:spacing w:after="40"/>
            </w:pPr>
            <w:r>
              <w:rPr>
                <w:sz w:val="19"/>
              </w:rPr>
            </w:r>
            <w:r>
              <w:rPr>
                <w:sz w:val="19"/>
              </w:rPr>
              <w:t>One codebase, two platforms; typing spans the model port</w:t>
            </w:r>
          </w:p>
        </w:tc>
        <w:tc>
          <w:tcPr>
            <w:tcW w:type="dxa" w:w="2494"/>
          </w:tcPr>
          <w:p>
            <w:pPr>
              <w:spacing w:after="40"/>
            </w:pPr>
            <w:r>
              <w:rPr>
                <w:sz w:val="19"/>
              </w:rPr>
            </w:r>
            <w:r>
              <w:rPr>
                <w:sz w:val="19"/>
              </w:rPr>
              <w:t>Flutter — thinner ML/BLE ecosystem</w:t>
            </w:r>
          </w:p>
        </w:tc>
      </w:tr>
      <w:tr>
        <w:tc>
          <w:tcPr>
            <w:tcW w:type="dxa" w:w="1077"/>
          </w:tcPr>
          <w:p>
            <w:pPr>
              <w:spacing w:after="40"/>
            </w:pPr>
            <w:r>
              <w:rPr>
                <w:sz w:val="19"/>
              </w:rPr>
            </w:r>
            <w:r>
              <w:rPr>
                <w:sz w:val="19"/>
              </w:rPr>
              <w:t>Backend</w:t>
            </w:r>
          </w:p>
        </w:tc>
        <w:tc>
          <w:tcPr>
            <w:tcW w:type="dxa" w:w="1928"/>
          </w:tcPr>
          <w:p>
            <w:pPr>
              <w:spacing w:after="40"/>
            </w:pPr>
            <w:r>
              <w:rPr>
                <w:sz w:val="19"/>
              </w:rPr>
            </w:r>
            <w:r>
              <w:rPr>
                <w:sz w:val="19"/>
              </w:rPr>
              <w:t>Laravel 13, Sanctum</w:t>
            </w:r>
          </w:p>
        </w:tc>
        <w:tc>
          <w:tcPr>
            <w:tcW w:type="dxa" w:w="2721"/>
          </w:tcPr>
          <w:p>
            <w:pPr>
              <w:spacing w:after="40"/>
            </w:pPr>
            <w:r>
              <w:rPr>
                <w:sz w:val="19"/>
              </w:rPr>
            </w:r>
            <w:r>
              <w:rPr>
                <w:sz w:val="19"/>
              </w:rPr>
              <w:t>Token auth, queues, validation; layering suits DDD</w:t>
            </w:r>
          </w:p>
        </w:tc>
        <w:tc>
          <w:tcPr>
            <w:tcW w:type="dxa" w:w="2494"/>
          </w:tcPr>
          <w:p>
            <w:pPr>
              <w:spacing w:after="40"/>
            </w:pPr>
            <w:r>
              <w:rPr>
                <w:sz w:val="19"/>
              </w:rPr>
            </w:r>
            <w:r>
              <w:rPr>
                <w:sz w:val="19"/>
              </w:rPr>
              <w:t>Node/Express — more assembly</w:t>
            </w:r>
          </w:p>
        </w:tc>
      </w:tr>
      <w:tr>
        <w:tc>
          <w:tcPr>
            <w:tcW w:type="dxa" w:w="1077"/>
          </w:tcPr>
          <w:p>
            <w:pPr>
              <w:spacing w:after="40"/>
            </w:pPr>
            <w:r>
              <w:rPr>
                <w:sz w:val="19"/>
              </w:rPr>
            </w:r>
            <w:r>
              <w:rPr>
                <w:sz w:val="19"/>
              </w:rPr>
              <w:t>Database</w:t>
            </w:r>
          </w:p>
        </w:tc>
        <w:tc>
          <w:tcPr>
            <w:tcW w:type="dxa" w:w="1928"/>
          </w:tcPr>
          <w:p>
            <w:pPr>
              <w:spacing w:after="40"/>
            </w:pPr>
            <w:r>
              <w:rPr>
                <w:sz w:val="19"/>
              </w:rPr>
            </w:r>
            <w:r>
              <w:rPr>
                <w:sz w:val="19"/>
              </w:rPr>
              <w:t>SQLite</w:t>
            </w:r>
          </w:p>
        </w:tc>
        <w:tc>
          <w:tcPr>
            <w:tcW w:type="dxa" w:w="2721"/>
          </w:tcPr>
          <w:p>
            <w:pPr>
              <w:spacing w:after="40"/>
            </w:pPr>
            <w:r>
              <w:rPr>
                <w:sz w:val="19"/>
              </w:rPr>
            </w:r>
            <w:r>
              <w:rPr>
                <w:sz w:val="19"/>
              </w:rPr>
              <w:t>Prototype scale; zero-config for an examiner</w:t>
            </w:r>
          </w:p>
        </w:tc>
        <w:tc>
          <w:tcPr>
            <w:tcW w:type="dxa" w:w="2494"/>
          </w:tcPr>
          <w:p>
            <w:pPr>
              <w:spacing w:after="40"/>
            </w:pPr>
            <w:r>
              <w:rPr>
                <w:sz w:val="19"/>
              </w:rPr>
            </w:r>
            <w:r>
              <w:rPr>
                <w:sz w:val="19"/>
              </w:rPr>
              <w:t>Firebase — the lock-in this project critiques</w:t>
            </w:r>
          </w:p>
        </w:tc>
      </w:tr>
      <w:tr>
        <w:tc>
          <w:tcPr>
            <w:tcW w:type="dxa" w:w="1077"/>
          </w:tcPr>
          <w:p>
            <w:pPr>
              <w:spacing w:after="40"/>
            </w:pPr>
            <w:r>
              <w:rPr>
                <w:sz w:val="19"/>
              </w:rPr>
            </w:r>
            <w:r>
              <w:rPr>
                <w:sz w:val="19"/>
              </w:rPr>
              <w:t>Inference</w:t>
            </w:r>
          </w:p>
        </w:tc>
        <w:tc>
          <w:tcPr>
            <w:tcW w:type="dxa" w:w="1928"/>
          </w:tcPr>
          <w:p>
            <w:pPr>
              <w:spacing w:after="40"/>
            </w:pPr>
            <w:r>
              <w:rPr>
                <w:sz w:val="19"/>
              </w:rPr>
            </w:r>
            <w:r>
              <w:rPr>
                <w:sz w:val="19"/>
              </w:rPr>
              <w:t>TypeScript port of the pipeline</w:t>
            </w:r>
          </w:p>
        </w:tc>
        <w:tc>
          <w:tcPr>
            <w:tcW w:type="dxa" w:w="2721"/>
          </w:tcPr>
          <w:p>
            <w:pPr>
              <w:spacing w:after="40"/>
            </w:pPr>
            <w:r>
              <w:rPr>
                <w:sz w:val="19"/>
              </w:rPr>
            </w:r>
            <w:r>
              <w:rPr>
                <w:sz w:val="19"/>
              </w:rPr>
              <w:t>Arithmetic only; no runtime, no download</w:t>
            </w:r>
          </w:p>
        </w:tc>
        <w:tc>
          <w:tcPr>
            <w:tcW w:type="dxa" w:w="2494"/>
          </w:tcPr>
          <w:p>
            <w:pPr>
              <w:spacing w:after="40"/>
            </w:pPr>
            <w:r>
              <w:rPr>
                <w:sz w:val="19"/>
              </w:rPr>
            </w:r>
            <w:r>
              <w:rPr>
                <w:sz w:val="19"/>
              </w:rPr>
              <w:t>TFLite — needless for a linear model</w:t>
            </w:r>
          </w:p>
        </w:tc>
      </w:tr>
      <w:tr>
        <w:tc>
          <w:tcPr>
            <w:tcW w:type="dxa" w:w="1077"/>
          </w:tcPr>
          <w:p>
            <w:pPr>
              <w:spacing w:after="40"/>
            </w:pPr>
            <w:r>
              <w:rPr>
                <w:sz w:val="19"/>
              </w:rPr>
            </w:r>
            <w:r>
              <w:rPr>
                <w:sz w:val="19"/>
              </w:rPr>
              <w:t>LLM</w:t>
            </w:r>
          </w:p>
        </w:tc>
        <w:tc>
          <w:tcPr>
            <w:tcW w:type="dxa" w:w="1928"/>
          </w:tcPr>
          <w:p>
            <w:pPr>
              <w:spacing w:after="40"/>
            </w:pPr>
            <w:r>
              <w:rPr>
                <w:sz w:val="19"/>
              </w:rPr>
            </w:r>
            <w:r>
              <w:rPr>
                <w:sz w:val="19"/>
              </w:rPr>
              <w:t>Gemini, server-side</w:t>
            </w:r>
          </w:p>
        </w:tc>
        <w:tc>
          <w:tcPr>
            <w:tcW w:type="dxa" w:w="2721"/>
          </w:tcPr>
          <w:p>
            <w:pPr>
              <w:spacing w:after="40"/>
            </w:pPr>
            <w:r>
              <w:rPr>
                <w:sz w:val="19"/>
              </w:rPr>
            </w:r>
            <w:r>
              <w:rPr>
                <w:sz w:val="19"/>
              </w:rPr>
              <w:t>The key never reaches a user device</w:t>
            </w:r>
          </w:p>
        </w:tc>
        <w:tc>
          <w:tcPr>
            <w:tcW w:type="dxa" w:w="2494"/>
          </w:tcPr>
          <w:p>
            <w:pPr>
              <w:spacing w:after="40"/>
            </w:pPr>
            <w:r>
              <w:rPr>
                <w:sz w:val="19"/>
              </w:rPr>
            </w:r>
            <w:r>
              <w:rPr>
                <w:sz w:val="19"/>
              </w:rPr>
              <w:t>On-device LLM — infeasible</w:t>
            </w:r>
          </w:p>
        </w:tc>
      </w:tr>
    </w:tbl>
    <w:p>
      <w:pPr>
        <w:spacing w:after="80"/>
      </w:pPr>
    </w:p>
    <w:p>
      <w:pPr>
        <w:pStyle w:val="Heading2"/>
      </w:pPr>
      <w:r>
        <w:t>3.3 Data strategy and research ethics</w:t>
      </w:r>
    </w:p>
    <w:p>
      <w:r>
        <w:t>The project’s original premise was to train on the author’s own wearable data. Protocol inspection of the device (Huawei Watch Fit) established that this was impossible: BLE service discovery found the mandatory Generic Access and Device Information services and a proprietary, authenticated vendor service (</w:t>
      </w:r>
      <w:r>
        <w:rPr>
          <w:rFonts w:ascii="Consolas" w:hAnsi="Consolas"/>
          <w:sz w:val="20"/>
        </w:rPr>
        <w:t>0xFE86</w:t>
      </w:r>
      <w:r>
        <w:t xml:space="preserve">), but the standard Heart Rate service </w:t>
      </w:r>
      <w:r>
        <w:rPr>
          <w:rFonts w:ascii="Consolas" w:hAnsi="Consolas"/>
          <w:sz w:val="20"/>
        </w:rPr>
        <w:t>0x180D</w:t>
      </w:r>
      <w:r>
        <w:t xml:space="preserve"> was </w:t>
      </w:r>
      <w:r>
        <w:rPr>
          <w:b/>
        </w:rPr>
        <w:t>absent</w:t>
      </w:r>
      <w:r>
        <w:t xml:space="preserve"> — the device does not expose its sensors to a third-party client. This is reported as a finding rather than an obstacle: it is directly measured primary evidence of the vendor lock-in identified in §2.4 (Appendix C).</w:t>
      </w:r>
    </w:p>
    <w:p>
      <w:r>
        <w:t xml:space="preserve">The project therefore uses two published cohorts. </w:t>
      </w:r>
      <w:r>
        <w:rPr>
          <w:b/>
        </w:rPr>
        <w:t>LifeSnaps</w:t>
      </w:r>
      <w:r>
        <w:t xml:space="preserve"> (Yfantidou ‘et al.’, 2022) — 71 participants, four months, CC BY 4.0 — is the primary training and evaluation set; </w:t>
      </w:r>
      <w:r>
        <w:rPr>
          <w:b/>
        </w:rPr>
        <w:t>PMData</w:t>
      </w:r>
      <w:r>
        <w:t xml:space="preserve"> (Thambawita ‘et al.’, 2020) — 16 participants, CC BY-NC 4.0 — is used for validation only. Integrity was verified against the published MD5 checksum, and each retrieval is pinned by SHA-256 and timestamp in a provenance manifest. Because PMData is non-commercial, any commercial pathway rests on LifeSnaps alone. Both cohorts are de-identified and consented for research reuse.</w:t>
      </w:r>
    </w:p>
    <w:p>
      <w:r>
        <w:t xml:space="preserve">A seeded simulator supplies demonstration data, task-density values absent from both cohorts, and edge-case fixtures. </w:t>
      </w:r>
      <w:r>
        <w:rPr>
          <w:b/>
        </w:rPr>
        <w:t>Simulator output never enters model training.</w:t>
      </w:r>
      <w:r>
        <w:t xml:space="preserve"> Had it done so, the model would have learned the simulator’s own rules and every metric in §5 would be circular, with no error raised anywhere. The rule is enforced in code, not by convention: data origin is a column, an assertion rejects any frame containing synthetic or untagged rows, and a test suite fails the build if the boundary is breached.</w:t>
      </w:r>
    </w:p>
    <w:p>
      <w:pPr>
        <w:pStyle w:val="Heading2"/>
      </w:pPr>
      <w:r>
        <w:t>3.4 Evaluation design</w:t>
      </w:r>
    </w:p>
    <w:p>
      <w:r>
        <w:t xml:space="preserve">Three axes were defined before any result was available: </w:t>
      </w:r>
      <w:r>
        <w:rPr>
          <w:b/>
        </w:rPr>
        <w:t>E1</w:t>
      </w:r>
      <w:r>
        <w:t xml:space="preserve">, retrospective policy evaluation measuring whether acting on the recommendation would have helped; </w:t>
      </w:r>
      <w:r>
        <w:rPr>
          <w:b/>
        </w:rPr>
        <w:t>E2</w:t>
      </w:r>
      <w:r>
        <w:t xml:space="preserve">, usability via the System Usability Scale and a heuristic walkthrough; and </w:t>
      </w:r>
      <w:r>
        <w:rPr>
          <w:b/>
        </w:rPr>
        <w:t>E3</w:t>
      </w:r>
      <w:r>
        <w:t>, validation of the daily Recovery Score against self-reported readiness.</w:t>
      </w:r>
    </w:p>
    <w:p>
      <w:pPr>
        <w:pStyle w:val="Heading1"/>
      </w:pPr>
      <w:r>
        <w:t>4. Design and Implementation</w:t>
      </w:r>
    </w:p>
    <w:p>
      <w:pPr>
        <w:pStyle w:val="Heading2"/>
      </w:pPr>
      <w:r>
        <w:t>4.1 System architecture</w:t>
      </w:r>
    </w:p>
    <w:p>
      <w:pPr>
        <w:pStyle w:val="CaptionText"/>
      </w:pPr>
      <w:r>
        <w:t>Figure 1 — System architecture</w:t>
      </w:r>
    </w:p>
    <w:p>
      <w:pPr>
        <w:spacing w:after="200"/>
        <w:jc w:val="center"/>
      </w:pPr>
      <w:r>
        <w:rPr>
          <w:b/>
          <w:highlight w:val="yellow"/>
        </w:rPr>
        <w:t>⟦ INSERT FIGURE — docs/diagrams/02-architecture.jpg ⟧</w:t>
      </w:r>
    </w:p>
    <w:p>
      <w:r>
        <w:t>The system separates a React Native client from a stateless Laravel API, with a Python training pipeline that produces a deployment artefact rather than a running service. The API is versioned from its first endpoint (</w:t>
      </w:r>
      <w:r>
        <w:rPr>
          <w:rFonts w:ascii="Consolas" w:hAnsi="Consolas"/>
          <w:sz w:val="20"/>
        </w:rPr>
        <w:t>/v1</w:t>
      </w:r>
      <w:r>
        <w:t>): retrofitting a prefix once a client is in users’ hands means supporting both indefinitely, since app updates cannot be forced.</w:t>
      </w:r>
    </w:p>
    <w:p>
      <w:r>
        <w:t xml:space="preserve">The backend follows a Domain-Driven Design layering — Domain, Application, Infrastructure, Http (Evans, 2003) — across seven bounded contexts. The layering is applied </w:t>
      </w:r>
      <w:r>
        <w:rPr>
          <w:b/>
        </w:rPr>
        <w:t>asymmetrically, and deliberately so.</w:t>
      </w:r>
      <w:r>
        <w:t xml:space="preserve"> The Wellbeing aggregate, where recovery scoring embeds genuine domain rules and invariants, uses the full stack of value objects, domain services, repository interfaces and use cases. Append-only records such as meals use a thinner slice, because an aggregate wrapped around a record that is created and never mutated adds indirection without protecting an invariant; uniform application of a heavyweight pattern to trivial data is a common failure of DDD adoption. The client mirrors the separation, keeping business logic out of components — which is what makes the 98-test mobile suite possible.</w:t>
      </w:r>
    </w:p>
    <w:p>
      <w:pPr>
        <w:pStyle w:val="Heading2"/>
      </w:pPr>
      <w:r>
        <w:t>4.2 Design patterns</w:t>
      </w:r>
    </w:p>
    <w:p>
      <w:pPr>
        <w:pStyle w:val="CaptionText"/>
      </w:pPr>
      <w:r>
        <w:t>Table 3 — Design patterns applied, and what each one bought</w:t>
      </w:r>
    </w:p>
    <w:tbl>
      <w:tblPr>
        <w:tblStyle w:val="TableGrid"/>
        <w:tblW w:type="auto" w:w="0"/>
        <w:jc w:val="center"/>
        <w:tblLook w:firstColumn="1" w:firstRow="1" w:lastColumn="0" w:lastRow="0" w:noHBand="0" w:noVBand="1" w:val="04A0"/>
      </w:tblPr>
      <w:tblGrid>
        <w:gridCol w:w="3009"/>
        <w:gridCol w:w="3009"/>
        <w:gridCol w:w="3009"/>
      </w:tblGrid>
      <w:tr>
        <w:tc>
          <w:tcPr>
            <w:tcW w:type="dxa" w:w="1304"/>
            <w:shd w:fill="D9E2F3"/>
          </w:tcPr>
          <w:p>
            <w:pPr>
              <w:spacing w:after="40"/>
            </w:pPr>
            <w:r>
              <w:rPr>
                <w:b/>
                <w:sz w:val="19"/>
              </w:rPr>
            </w:r>
            <w:r>
              <w:rPr>
                <w:b/>
                <w:sz w:val="19"/>
              </w:rPr>
              <w:t>Pattern</w:t>
            </w:r>
          </w:p>
        </w:tc>
        <w:tc>
          <w:tcPr>
            <w:tcW w:type="dxa" w:w="3175"/>
            <w:shd w:fill="D9E2F3"/>
          </w:tcPr>
          <w:p>
            <w:pPr>
              <w:spacing w:after="40"/>
            </w:pPr>
            <w:r>
              <w:rPr>
                <w:b/>
                <w:sz w:val="19"/>
              </w:rPr>
            </w:r>
            <w:r>
              <w:rPr>
                <w:b/>
                <w:sz w:val="19"/>
              </w:rPr>
              <w:t>Applied at</w:t>
            </w:r>
          </w:p>
        </w:tc>
        <w:tc>
          <w:tcPr>
            <w:tcW w:type="dxa" w:w="3742"/>
            <w:shd w:fill="D9E2F3"/>
          </w:tcPr>
          <w:p>
            <w:pPr>
              <w:spacing w:after="40"/>
            </w:pPr>
            <w:r>
              <w:rPr>
                <w:b/>
                <w:sz w:val="19"/>
              </w:rPr>
            </w:r>
            <w:r>
              <w:rPr>
                <w:b/>
                <w:sz w:val="19"/>
              </w:rPr>
              <w:t>What it bought</w:t>
            </w:r>
          </w:p>
        </w:tc>
      </w:tr>
      <w:tr>
        <w:tc>
          <w:tcPr>
            <w:tcW w:type="dxa" w:w="1304"/>
          </w:tcPr>
          <w:p>
            <w:pPr>
              <w:spacing w:after="40"/>
            </w:pPr>
            <w:r>
              <w:rPr>
                <w:sz w:val="19"/>
              </w:rPr>
            </w:r>
            <w:r>
              <w:rPr>
                <w:sz w:val="19"/>
              </w:rPr>
              <w:t>Adapter</w:t>
            </w:r>
          </w:p>
        </w:tc>
        <w:tc>
          <w:tcPr>
            <w:tcW w:type="dxa" w:w="3175"/>
          </w:tcPr>
          <w:p>
            <w:pPr>
              <w:spacing w:after="40"/>
            </w:pPr>
            <w:r>
              <w:rPr>
                <w:sz w:val="19"/>
              </w:rPr>
            </w:r>
            <w:r>
              <w:rPr>
                <w:sz w:val="19"/>
              </w:rPr>
              <w:t>HealthProvider → Health Connect, HealthKit, Replay</w:t>
            </w:r>
          </w:p>
        </w:tc>
        <w:tc>
          <w:tcPr>
            <w:tcW w:type="dxa" w:w="3742"/>
          </w:tcPr>
          <w:p>
            <w:pPr>
              <w:spacing w:after="40"/>
            </w:pPr>
            <w:r>
              <w:rPr>
                <w:sz w:val="19"/>
              </w:rPr>
            </w:r>
            <w:r>
              <w:rPr>
                <w:sz w:val="19"/>
              </w:rPr>
              <w:t>Deterministic cohort replay; platform APIs swapped without touching callers</w:t>
            </w:r>
          </w:p>
        </w:tc>
      </w:tr>
      <w:tr>
        <w:tc>
          <w:tcPr>
            <w:tcW w:type="dxa" w:w="1304"/>
          </w:tcPr>
          <w:p>
            <w:pPr>
              <w:spacing w:after="40"/>
            </w:pPr>
            <w:r>
              <w:rPr>
                <w:sz w:val="19"/>
              </w:rPr>
            </w:r>
            <w:r>
              <w:rPr>
                <w:sz w:val="19"/>
              </w:rPr>
              <w:t>Repository</w:t>
            </w:r>
          </w:p>
        </w:tc>
        <w:tc>
          <w:tcPr>
            <w:tcW w:type="dxa" w:w="3175"/>
          </w:tcPr>
          <w:p>
            <w:pPr>
              <w:spacing w:after="40"/>
            </w:pPr>
            <w:r>
              <w:rPr>
                <w:sz w:val="19"/>
              </w:rPr>
            </w:r>
            <w:r>
              <w:rPr>
                <w:sz w:val="19"/>
              </w:rPr>
              <w:t>Domain interfaces, Eloquent implementations</w:t>
            </w:r>
          </w:p>
        </w:tc>
        <w:tc>
          <w:tcPr>
            <w:tcW w:type="dxa" w:w="3742"/>
          </w:tcPr>
          <w:p>
            <w:pPr>
              <w:spacing w:after="40"/>
            </w:pPr>
            <w:r>
              <w:rPr>
                <w:sz w:val="19"/>
              </w:rPr>
            </w:r>
            <w:r>
              <w:rPr>
                <w:sz w:val="19"/>
              </w:rPr>
              <w:t>Domain independent of persistence; use cases tested without a database</w:t>
            </w:r>
          </w:p>
        </w:tc>
      </w:tr>
      <w:tr>
        <w:tc>
          <w:tcPr>
            <w:tcW w:type="dxa" w:w="1304"/>
          </w:tcPr>
          <w:p>
            <w:pPr>
              <w:spacing w:after="40"/>
            </w:pPr>
            <w:r>
              <w:rPr>
                <w:sz w:val="19"/>
              </w:rPr>
            </w:r>
            <w:r>
              <w:rPr>
                <w:sz w:val="19"/>
              </w:rPr>
              <w:t>Strategy</w:t>
            </w:r>
          </w:p>
        </w:tc>
        <w:tc>
          <w:tcPr>
            <w:tcW w:type="dxa" w:w="3175"/>
          </w:tcPr>
          <w:p>
            <w:pPr>
              <w:spacing w:after="40"/>
            </w:pPr>
            <w:r>
              <w:rPr>
                <w:sz w:val="19"/>
              </w:rPr>
            </w:r>
            <w:r>
              <w:rPr>
                <w:sz w:val="19"/>
              </w:rPr>
              <w:t>Vitals source — BLE preferred, MQTT fallback</w:t>
            </w:r>
          </w:p>
        </w:tc>
        <w:tc>
          <w:tcPr>
            <w:tcW w:type="dxa" w:w="3742"/>
          </w:tcPr>
          <w:p>
            <w:pPr>
              <w:spacing w:after="40"/>
            </w:pPr>
            <w:r>
              <w:rPr>
                <w:sz w:val="19"/>
              </w:rPr>
            </w:r>
            <w:r>
              <w:rPr>
                <w:sz w:val="19"/>
              </w:rPr>
              <w:t>Transport chosen at runtime, one reading in the UI (ADR-0007)</w:t>
            </w:r>
          </w:p>
        </w:tc>
      </w:tr>
      <w:tr>
        <w:tc>
          <w:tcPr>
            <w:tcW w:type="dxa" w:w="1304"/>
          </w:tcPr>
          <w:p>
            <w:pPr>
              <w:spacing w:after="40"/>
            </w:pPr>
            <w:r>
              <w:rPr>
                <w:sz w:val="19"/>
              </w:rPr>
            </w:r>
            <w:r>
              <w:rPr>
                <w:sz w:val="19"/>
              </w:rPr>
              <w:t>Facade</w:t>
            </w:r>
          </w:p>
        </w:tc>
        <w:tc>
          <w:tcPr>
            <w:tcW w:type="dxa" w:w="3175"/>
          </w:tcPr>
          <w:p>
            <w:pPr>
              <w:spacing w:after="40"/>
            </w:pPr>
            <w:r>
              <w:rPr>
                <w:sz w:val="19"/>
              </w:rPr>
            </w:r>
            <w:r>
              <w:rPr>
                <w:sz w:val="19"/>
              </w:rPr>
              <w:t>GeminiClient; weather provider chain</w:t>
            </w:r>
          </w:p>
        </w:tc>
        <w:tc>
          <w:tcPr>
            <w:tcW w:type="dxa" w:w="3742"/>
          </w:tcPr>
          <w:p>
            <w:pPr>
              <w:spacing w:after="40"/>
            </w:pPr>
            <w:r>
              <w:rPr>
                <w:sz w:val="19"/>
              </w:rPr>
            </w:r>
            <w:r>
              <w:rPr>
                <w:sz w:val="19"/>
              </w:rPr>
              <w:t>Provider failure and fallback ordering at one boundary</w:t>
            </w:r>
          </w:p>
        </w:tc>
      </w:tr>
      <w:tr>
        <w:tc>
          <w:tcPr>
            <w:tcW w:type="dxa" w:w="1304"/>
          </w:tcPr>
          <w:p>
            <w:pPr>
              <w:spacing w:after="40"/>
            </w:pPr>
            <w:r>
              <w:rPr>
                <w:sz w:val="19"/>
              </w:rPr>
            </w:r>
            <w:r>
              <w:rPr>
                <w:sz w:val="19"/>
              </w:rPr>
              <w:t>Observer</w:t>
            </w:r>
          </w:p>
        </w:tc>
        <w:tc>
          <w:tcPr>
            <w:tcW w:type="dxa" w:w="3175"/>
          </w:tcPr>
          <w:p>
            <w:pPr>
              <w:spacing w:after="40"/>
            </w:pPr>
            <w:r>
              <w:rPr>
                <w:sz w:val="19"/>
              </w:rPr>
            </w:r>
            <w:r>
              <w:rPr>
                <w:sz w:val="19"/>
              </w:rPr>
              <w:t>Reactive context providers</w:t>
            </w:r>
          </w:p>
        </w:tc>
        <w:tc>
          <w:tcPr>
            <w:tcW w:type="dxa" w:w="3742"/>
          </w:tcPr>
          <w:p>
            <w:pPr>
              <w:spacing w:after="40"/>
            </w:pPr>
            <w:r>
              <w:rPr>
                <w:sz w:val="19"/>
              </w:rPr>
            </w:r>
            <w:r>
              <w:rPr>
                <w:sz w:val="19"/>
              </w:rPr>
              <w:t>Screens re-render from state, without polling</w:t>
            </w:r>
          </w:p>
        </w:tc>
      </w:tr>
      <w:tr>
        <w:tc>
          <w:tcPr>
            <w:tcW w:type="dxa" w:w="1304"/>
          </w:tcPr>
          <w:p>
            <w:pPr>
              <w:spacing w:after="40"/>
            </w:pPr>
            <w:r>
              <w:rPr>
                <w:sz w:val="19"/>
              </w:rPr>
            </w:r>
            <w:r>
              <w:rPr>
                <w:sz w:val="19"/>
              </w:rPr>
              <w:t>Value Object</w:t>
            </w:r>
          </w:p>
        </w:tc>
        <w:tc>
          <w:tcPr>
            <w:tcW w:type="dxa" w:w="3175"/>
          </w:tcPr>
          <w:p>
            <w:pPr>
              <w:spacing w:after="40"/>
            </w:pPr>
            <w:r>
              <w:rPr>
                <w:sz w:val="19"/>
              </w:rPr>
            </w:r>
            <w:r>
              <w:rPr>
                <w:sz w:val="19"/>
              </w:rPr>
              <w:t>RecoveryScore, BodyMassIndex, ResetCode</w:t>
            </w:r>
          </w:p>
        </w:tc>
        <w:tc>
          <w:tcPr>
            <w:tcW w:type="dxa" w:w="3742"/>
          </w:tcPr>
          <w:p>
            <w:pPr>
              <w:spacing w:after="40"/>
            </w:pPr>
            <w:r>
              <w:rPr>
                <w:sz w:val="19"/>
              </w:rPr>
            </w:r>
            <w:r>
              <w:rPr>
                <w:sz w:val="19"/>
              </w:rPr>
              <w:t>Validity enforced at construction — an invalid score cannot exist</w:t>
            </w:r>
          </w:p>
        </w:tc>
      </w:tr>
    </w:tbl>
    <w:p>
      <w:pPr>
        <w:spacing w:after="80"/>
      </w:pPr>
    </w:p>
    <w:p>
      <w:r>
        <w:t>The Adapter’s third implementation exists because §3.3 removed live wearable sync, and converts that loss into a benefit: demonstrations become deterministic rather than dependent on a device pairing successfully.</w:t>
      </w:r>
    </w:p>
    <w:p>
      <w:pPr>
        <w:pStyle w:val="Heading2"/>
      </w:pPr>
      <w:r>
        <w:t>4.3 The intelligence split</w:t>
      </w:r>
    </w:p>
    <w:p>
      <w:r>
        <w:t>The system uses three kinds of machine intelligence, each chosen for the shape of its problem rather than for novelty.</w:t>
      </w:r>
    </w:p>
    <w:p>
      <w:r>
        <w:rPr>
          <w:b/>
        </w:rPr>
        <w:t>Numbers.</w:t>
      </w:r>
      <w:r>
        <w:t xml:space="preserve"> Readiness prediction is a logistic regression trained in scikit-learn, exported and re-implemented in TypeScript. It runs on the device as arithmetic — no inference runtime, no model download, no network call. Crucially the </w:t>
      </w:r>
      <w:r>
        <w:rPr>
          <w:b/>
        </w:rPr>
        <w:t>entire pipeline</w:t>
      </w:r>
      <w:r>
        <w:t xml:space="preserve"> is exported, not only the coefficients: imputer medians, scaler parameters, coefficients and intercept. Without the transform parameters the device cannot reproduce the space it was fitted in, and would silently score plausible nonsense.</w:t>
      </w:r>
    </w:p>
    <w:p>
      <w:pPr>
        <w:pStyle w:val="Formula"/>
      </w:pPr>
      <w:r>
        <w:t>z = Σ coefficients[i] × (x[i] − mean[i]) / std[i] + intercept</w:t>
      </w:r>
    </w:p>
    <w:p>
      <w:pPr>
        <w:pStyle w:val="Formula"/>
      </w:pPr>
      <w:r>
        <w:t>p = 1 / (1 + exp(−z))</w:t>
      </w:r>
    </w:p>
    <w:p>
      <w:r>
        <w:t>Following Borbély (1982), the hour feature is encoded cyclically as sine and cosine rather than as an integer, because a linear model treats 23:00 and 00:00 as twenty-three units apart and cannot otherwise fit a rhythm.</w:t>
      </w:r>
    </w:p>
    <w:p>
      <w:r>
        <w:rPr>
          <w:b/>
        </w:rPr>
        <w:t>Words.</w:t>
      </w:r>
      <w:r>
        <w:t xml:space="preserve"> The daily brief and assistant call Gemini server-side, so the API key never reaches a device. Guardrails live in the prompt and the prompt is itself under test (ADR-0005), and the assistant answers from a grounding pack built from the user’s own fortnight rather than open generation (ADR-0008).</w:t>
      </w:r>
    </w:p>
    <w:p>
      <w:r>
        <w:rPr>
          <w:b/>
        </w:rPr>
        <w:t>Pixels.</w:t>
      </w:r>
      <w:r>
        <w:t xml:space="preserve"> The movement coach runs a pre-trained pose estimator on device; frames never leave it. </w:t>
      </w:r>
      <w:r>
        <w:rPr>
          <w:b/>
        </w:rPr>
        <w:t>The rep counter is not a model:</w:t>
      </w:r>
      <w:r>
        <w:t xml:space="preserve"> seventeen landmarks feed joint-angle trigonometry and a hysteresis state machine, which makes it unit-testable against golden angle sequences and explainable to a user.</w:t>
      </w:r>
    </w:p>
    <w:p>
      <w:pPr>
        <w:pStyle w:val="Heading2"/>
      </w:pPr>
      <w:r>
        <w:t>4.4 User interface and user experience design</w:t>
      </w:r>
    </w:p>
    <w:p>
      <w:pPr>
        <w:pStyle w:val="CaptionText"/>
      </w:pPr>
      <w:r>
        <w:t>Figure 2 — Interface composite: Today, Insights, Assistant, Movement, Plan, Disclosure</w:t>
      </w:r>
    </w:p>
    <w:p>
      <w:pPr>
        <w:spacing w:after="200"/>
        <w:jc w:val="center"/>
      </w:pPr>
      <w:r>
        <w:rPr>
          <w:b/>
          <w:highlight w:val="yellow"/>
        </w:rPr>
        <w:t>⟦ INSERT FIGURE — six screenshots at consistent scale, labelled (a)–(f) ⟧</w:t>
      </w:r>
    </w:p>
    <w:p>
      <w:r>
        <w:t>The client presents 22 screens across an authentication group and an application group, with the primary journey — Today, Insights, Assistant, Movement — reachable within one navigation level. Depth was constrained deliberately: a recommendation that takes four taps to reach will not be consulted in the moment it applies. A token-based design system keeps spacing, typography and colour on one scale across every screen.</w:t>
      </w:r>
    </w:p>
    <w:p>
      <w:r>
        <w:rPr>
          <w:b/>
        </w:rPr>
        <w:t>Accessibility</w:t>
      </w:r>
      <w:r>
        <w:t xml:space="preserve"> was treated as a requirement rather than a refinement: text and background pairs meet WCAG AA contrast, interactive targets meet the 44-point minimum, controls carry labels and roles for screen readers, type scales with the system font-size setting, and no state is signalled by colour alone.</w:t>
      </w:r>
    </w:p>
    <w:p>
      <w:r>
        <w:t xml:space="preserve">The most distinctive element follows from §2.4. The disclosure view tells the user </w:t>
      </w:r>
      <w:r>
        <w:rPr>
          <w:b/>
        </w:rPr>
        <w:t>how many of the model’s 25 inputs are genuinely theirs</w:t>
      </w:r>
      <w:r>
        <w:t xml:space="preserve"> rather than a training-set median, and the Recovery Score is marked provisional on days lacking a resting-heart-rate baseline instead of being silently renormalised over whichever components are present. This implements Nielsen’s visibility of system status (1994) against the commercial norm of Table 1: a system that knows its own prediction is weak should say so where the user can see it.</w:t>
      </w:r>
    </w:p>
    <w:p>
      <w:pPr>
        <w:pStyle w:val="Heading2"/>
      </w:pPr>
      <w:r>
        <w:t>4.5 Security, performance and scalability by design</w:t>
      </w:r>
    </w:p>
    <w:p>
      <w:r>
        <w:t>Authentication uses Sanctum bearer tokens, held in the platform secure store while cached health data sits in general storage (ADR-0002). Every authenticated route is scoped to the requesting user and accepts no resource identifier, so no path exists by which one account can address another’s data. Public endpoints carry two limiters, per-IP and per-email-and-IP, because email alone would let an attacker lock a known user out of their own account recovery while IP alone would let one host work through a list of addresses. Secrets are excluded from version control and verified after every push.</w:t>
      </w:r>
    </w:p>
    <w:p>
      <w:r>
        <w:t>Performance derives from the architecture rather than later optimisation: prediction runs on device as arithmetic and needs no network, and an offline cache with an outbox lets the application function and queue writes without connectivity. Expensive work is queued and throttled. The API holds no session state, so horizontal scaling requires only a load balancer, and persistence sits behind repository interfaces, so SQLite can be replaced without touching domain code.</w:t>
      </w:r>
    </w:p>
    <w:p>
      <w:pPr>
        <w:pStyle w:val="Heading1"/>
      </w:pPr>
      <w:r>
        <w:t>5. Evaluation</w:t>
      </w:r>
    </w:p>
    <w:p>
      <w:pPr>
        <w:pStyle w:val="Heading2"/>
      </w:pPr>
      <w:r>
        <w:t>5.1 Functional testing</w:t>
      </w:r>
    </w:p>
    <w:p>
      <w:pPr>
        <w:pStyle w:val="CaptionText"/>
      </w:pPr>
      <w:r>
        <w:t>Table 4 — Automated test suites and what each guards against</w:t>
      </w:r>
    </w:p>
    <w:tbl>
      <w:tblPr>
        <w:tblStyle w:val="TableGrid"/>
        <w:tblW w:type="auto" w:w="0"/>
        <w:jc w:val="center"/>
        <w:tblLook w:firstColumn="1" w:firstRow="1" w:lastColumn="0" w:lastRow="0" w:noHBand="0" w:noVBand="1" w:val="04A0"/>
      </w:tblPr>
      <w:tblGrid>
        <w:gridCol w:w="3009"/>
        <w:gridCol w:w="3009"/>
        <w:gridCol w:w="3009"/>
      </w:tblGrid>
      <w:tr>
        <w:tc>
          <w:tcPr>
            <w:tcW w:type="dxa" w:w="2608"/>
            <w:shd w:fill="D9E2F3"/>
          </w:tcPr>
          <w:p>
            <w:pPr>
              <w:spacing w:after="40"/>
            </w:pPr>
            <w:r>
              <w:rPr>
                <w:b/>
                <w:sz w:val="19"/>
              </w:rPr>
            </w:r>
            <w:r>
              <w:rPr>
                <w:b/>
                <w:sz w:val="19"/>
              </w:rPr>
              <w:t>Suite</w:t>
            </w:r>
          </w:p>
        </w:tc>
        <w:tc>
          <w:tcPr>
            <w:tcW w:type="dxa" w:w="907"/>
            <w:shd w:fill="D9E2F3"/>
          </w:tcPr>
          <w:p>
            <w:pPr>
              <w:spacing w:after="40"/>
            </w:pPr>
            <w:r>
              <w:rPr>
                <w:b/>
                <w:sz w:val="19"/>
              </w:rPr>
            </w:r>
            <w:r>
              <w:rPr>
                <w:b/>
                <w:sz w:val="19"/>
              </w:rPr>
              <w:t>Tests</w:t>
            </w:r>
          </w:p>
        </w:tc>
        <w:tc>
          <w:tcPr>
            <w:tcW w:type="dxa" w:w="4706"/>
            <w:shd w:fill="D9E2F3"/>
          </w:tcPr>
          <w:p>
            <w:pPr>
              <w:spacing w:after="40"/>
            </w:pPr>
            <w:r>
              <w:rPr>
                <w:b/>
                <w:sz w:val="19"/>
              </w:rPr>
            </w:r>
            <w:r>
              <w:rPr>
                <w:b/>
                <w:sz w:val="19"/>
              </w:rPr>
              <w:t>Guards against</w:t>
            </w:r>
          </w:p>
        </w:tc>
      </w:tr>
      <w:tr>
        <w:tc>
          <w:tcPr>
            <w:tcW w:type="dxa" w:w="2608"/>
          </w:tcPr>
          <w:p>
            <w:pPr>
              <w:spacing w:after="40"/>
            </w:pPr>
            <w:r>
              <w:rPr>
                <w:sz w:val="19"/>
              </w:rPr>
            </w:r>
            <w:r>
              <w:rPr>
                <w:sz w:val="19"/>
              </w:rPr>
              <w:t>API — Laravel</w:t>
            </w:r>
          </w:p>
        </w:tc>
        <w:tc>
          <w:tcPr>
            <w:tcW w:type="dxa" w:w="907"/>
          </w:tcPr>
          <w:p>
            <w:pPr>
              <w:spacing w:after="40"/>
            </w:pPr>
            <w:r>
              <w:rPr>
                <w:sz w:val="19"/>
              </w:rPr>
            </w:r>
            <w:r>
              <w:rPr>
                <w:sz w:val="19"/>
              </w:rPr>
              <w:t>461</w:t>
            </w:r>
          </w:p>
        </w:tc>
        <w:tc>
          <w:tcPr>
            <w:tcW w:type="dxa" w:w="4706"/>
          </w:tcPr>
          <w:p>
            <w:pPr>
              <w:spacing w:after="40"/>
            </w:pPr>
            <w:r>
              <w:rPr>
                <w:sz w:val="19"/>
              </w:rPr>
            </w:r>
            <w:r>
              <w:rPr>
                <w:sz w:val="19"/>
              </w:rPr>
              <w:t>Contract, authorisation and invariant regressions</w:t>
            </w:r>
          </w:p>
        </w:tc>
      </w:tr>
      <w:tr>
        <w:tc>
          <w:tcPr>
            <w:tcW w:type="dxa" w:w="2608"/>
          </w:tcPr>
          <w:p>
            <w:pPr>
              <w:spacing w:after="40"/>
            </w:pPr>
            <w:r>
              <w:rPr>
                <w:sz w:val="19"/>
              </w:rPr>
            </w:r>
            <w:r>
              <w:rPr>
                <w:sz w:val="19"/>
              </w:rPr>
              <w:t>Mobile — Jest</w:t>
            </w:r>
          </w:p>
        </w:tc>
        <w:tc>
          <w:tcPr>
            <w:tcW w:type="dxa" w:w="907"/>
          </w:tcPr>
          <w:p>
            <w:pPr>
              <w:spacing w:after="40"/>
            </w:pPr>
            <w:r>
              <w:rPr>
                <w:sz w:val="19"/>
              </w:rPr>
            </w:r>
            <w:r>
              <w:rPr>
                <w:sz w:val="19"/>
              </w:rPr>
              <w:t>372</w:t>
            </w:r>
          </w:p>
        </w:tc>
        <w:tc>
          <w:tcPr>
            <w:tcW w:type="dxa" w:w="4706"/>
          </w:tcPr>
          <w:p>
            <w:pPr>
              <w:spacing w:after="40"/>
            </w:pPr>
            <w:r>
              <w:rPr>
                <w:sz w:val="19"/>
              </w:rPr>
            </w:r>
            <w:r>
              <w:rPr>
                <w:sz w:val="19"/>
              </w:rPr>
              <w:t>Service and model-port regressions; state and cache errors</w:t>
            </w:r>
          </w:p>
        </w:tc>
      </w:tr>
      <w:tr>
        <w:tc>
          <w:tcPr>
            <w:tcW w:type="dxa" w:w="2608"/>
          </w:tcPr>
          <w:p>
            <w:pPr>
              <w:spacing w:after="40"/>
            </w:pPr>
            <w:r>
              <w:rPr>
                <w:sz w:val="19"/>
              </w:rPr>
            </w:r>
            <w:r>
              <w:rPr>
                <w:sz w:val="19"/>
              </w:rPr>
              <w:t>ML — provenance, split</w:t>
            </w:r>
          </w:p>
        </w:tc>
        <w:tc>
          <w:tcPr>
            <w:tcW w:type="dxa" w:w="907"/>
          </w:tcPr>
          <w:p>
            <w:pPr>
              <w:spacing w:after="40"/>
            </w:pPr>
            <w:r>
              <w:rPr>
                <w:sz w:val="19"/>
              </w:rPr>
            </w:r>
            <w:r>
              <w:rPr>
                <w:sz w:val="19"/>
              </w:rPr>
              <w:t>21</w:t>
            </w:r>
          </w:p>
        </w:tc>
        <w:tc>
          <w:tcPr>
            <w:tcW w:type="dxa" w:w="4706"/>
          </w:tcPr>
          <w:p>
            <w:pPr>
              <w:spacing w:after="40"/>
            </w:pPr>
            <w:r>
              <w:rPr>
                <w:sz w:val="19"/>
              </w:rPr>
            </w:r>
            <w:r>
              <w:rPr>
                <w:sz w:val="19"/>
              </w:rPr>
              <w:t>Simulated rows in training; participant and temporal leakage</w:t>
            </w:r>
          </w:p>
        </w:tc>
      </w:tr>
      <w:tr>
        <w:tc>
          <w:tcPr>
            <w:tcW w:type="dxa" w:w="2608"/>
          </w:tcPr>
          <w:p>
            <w:pPr>
              <w:spacing w:after="40"/>
            </w:pPr>
            <w:r>
              <w:rPr>
                <w:sz w:val="19"/>
              </w:rPr>
            </w:r>
            <w:r>
              <w:rPr>
                <w:sz w:val="19"/>
              </w:rPr>
              <w:t>ML — label, baseline, feature</w:t>
            </w:r>
          </w:p>
        </w:tc>
        <w:tc>
          <w:tcPr>
            <w:tcW w:type="dxa" w:w="907"/>
          </w:tcPr>
          <w:p>
            <w:pPr>
              <w:spacing w:after="40"/>
            </w:pPr>
            <w:r>
              <w:rPr>
                <w:sz w:val="19"/>
              </w:rPr>
            </w:r>
            <w:r>
              <w:rPr>
                <w:sz w:val="19"/>
              </w:rPr>
              <w:t>71</w:t>
            </w:r>
          </w:p>
        </w:tc>
        <w:tc>
          <w:tcPr>
            <w:tcW w:type="dxa" w:w="4706"/>
          </w:tcPr>
          <w:p>
            <w:pPr>
              <w:spacing w:after="40"/>
            </w:pPr>
            <w:r>
              <w:rPr>
                <w:sz w:val="19"/>
              </w:rPr>
            </w:r>
            <w:r>
              <w:rPr>
                <w:sz w:val="19"/>
              </w:rPr>
              <w:t>Baseline-free reporting; target drift; feature errors</w:t>
            </w:r>
          </w:p>
        </w:tc>
      </w:tr>
      <w:tr>
        <w:tc>
          <w:tcPr>
            <w:tcW w:type="dxa" w:w="2608"/>
          </w:tcPr>
          <w:p>
            <w:pPr>
              <w:spacing w:after="40"/>
            </w:pPr>
            <w:r>
              <w:rPr>
                <w:sz w:val="19"/>
              </w:rPr>
            </w:r>
            <w:r>
              <w:rPr>
                <w:b/>
                <w:sz w:val="19"/>
              </w:rPr>
              <w:t>Total</w:t>
            </w:r>
          </w:p>
        </w:tc>
        <w:tc>
          <w:tcPr>
            <w:tcW w:type="dxa" w:w="907"/>
          </w:tcPr>
          <w:p>
            <w:pPr>
              <w:spacing w:after="40"/>
            </w:pPr>
            <w:r>
              <w:rPr>
                <w:sz w:val="19"/>
              </w:rPr>
            </w:r>
            <w:r>
              <w:rPr>
                <w:b/>
                <w:sz w:val="19"/>
              </w:rPr>
              <w:t>925</w:t>
            </w:r>
          </w:p>
        </w:tc>
        <w:tc>
          <w:tcPr>
            <w:tcW w:type="dxa" w:w="4706"/>
          </w:tcPr>
          <w:p>
            <w:pPr>
              <w:spacing w:after="40"/>
            </w:pPr>
            <w:r>
              <w:rPr>
                <w:sz w:val="19"/>
              </w:rPr>
            </w:r>
          </w:p>
        </w:tc>
      </w:tr>
    </w:tbl>
    <w:p>
      <w:pPr>
        <w:spacing w:after="80"/>
      </w:pPr>
    </w:p>
    <w:p>
      <w:r>
        <w:t xml:space="preserve">All 925 pass in CI on every push (Appendix C). Golden-vector tests pin the TypeScript port to figures computed in Python, and </w:t>
      </w:r>
      <w:r>
        <w:rPr>
          <w:rFonts w:ascii="Consolas" w:hAnsi="Consolas"/>
          <w:sz w:val="20"/>
        </w:rPr>
        <w:t>check:model</w:t>
      </w:r>
      <w:r>
        <w:t xml:space="preserve"> fails the build if the bundled coefficients drift. The suite is </w:t>
      </w:r>
      <w:r>
        <w:rPr>
          <w:b/>
        </w:rPr>
        <w:t>load-bearing</w:t>
      </w:r>
      <w:r>
        <w:t>: a test expecting a +10 bpm deviation returned 8.57, exposing a resting-heart-rate baseline that included the current day. Correcting it raised held-out recall from 0.449 to 0.536 and cut the largest coefficient from 0.839 to 0.376 — an artefact, not a finding.</w:t>
      </w:r>
    </w:p>
    <w:p>
      <w:pPr>
        <w:pStyle w:val="Heading2"/>
      </w:pPr>
      <w:r>
        <w:t>5.2 Performance and security testing</w:t>
      </w:r>
    </w:p>
    <w:p>
      <w:pPr>
        <w:pStyle w:val="CaptionText"/>
      </w:pPr>
      <w:r>
        <w:t>Table 5 — Measured non-functional performance</w:t>
      </w:r>
    </w:p>
    <w:tbl>
      <w:tblPr>
        <w:tblStyle w:val="TableGrid"/>
        <w:tblW w:type="auto" w:w="0"/>
        <w:jc w:val="center"/>
        <w:tblLook w:firstColumn="1" w:firstRow="1" w:lastColumn="0" w:lastRow="0" w:noHBand="0" w:noVBand="1" w:val="04A0"/>
      </w:tblPr>
      <w:tblGrid>
        <w:gridCol w:w="3009"/>
        <w:gridCol w:w="3009"/>
        <w:gridCol w:w="3009"/>
      </w:tblGrid>
      <w:tr>
        <w:tc>
          <w:tcPr>
            <w:tcW w:type="dxa" w:w="3969"/>
            <w:shd w:fill="D9E2F3"/>
          </w:tcPr>
          <w:p>
            <w:pPr>
              <w:spacing w:after="40"/>
            </w:pPr>
            <w:r>
              <w:rPr>
                <w:b/>
                <w:sz w:val="19"/>
              </w:rPr>
            </w:r>
            <w:r>
              <w:rPr>
                <w:b/>
                <w:sz w:val="19"/>
              </w:rPr>
              <w:t>Metric</w:t>
            </w:r>
          </w:p>
        </w:tc>
        <w:tc>
          <w:tcPr>
            <w:tcW w:type="dxa" w:w="1701"/>
            <w:shd w:fill="D9E2F3"/>
          </w:tcPr>
          <w:p>
            <w:pPr>
              <w:spacing w:after="40"/>
            </w:pPr>
            <w:r>
              <w:rPr>
                <w:b/>
                <w:sz w:val="19"/>
              </w:rPr>
            </w:r>
            <w:r>
              <w:rPr>
                <w:b/>
                <w:sz w:val="19"/>
              </w:rPr>
              <w:t>Requirement</w:t>
            </w:r>
          </w:p>
        </w:tc>
        <w:tc>
          <w:tcPr>
            <w:tcW w:type="dxa" w:w="2551"/>
            <w:shd w:fill="D9E2F3"/>
          </w:tcPr>
          <w:p>
            <w:pPr>
              <w:spacing w:after="40"/>
            </w:pPr>
            <w:r>
              <w:rPr>
                <w:b/>
                <w:sz w:val="19"/>
              </w:rPr>
            </w:r>
            <w:r>
              <w:rPr>
                <w:b/>
                <w:sz w:val="19"/>
              </w:rPr>
              <w:t>Measured</w:t>
            </w:r>
          </w:p>
        </w:tc>
      </w:tr>
      <w:tr>
        <w:tc>
          <w:tcPr>
            <w:tcW w:type="dxa" w:w="3969"/>
          </w:tcPr>
          <w:p>
            <w:pPr>
              <w:spacing w:after="40"/>
            </w:pPr>
            <w:r>
              <w:rPr>
                <w:sz w:val="19"/>
              </w:rPr>
            </w:r>
            <w:r>
              <w:rPr>
                <w:sz w:val="19"/>
              </w:rPr>
              <w:t>Readiness inference p95</w:t>
            </w:r>
          </w:p>
        </w:tc>
        <w:tc>
          <w:tcPr>
            <w:tcW w:type="dxa" w:w="1701"/>
          </w:tcPr>
          <w:p>
            <w:pPr>
              <w:spacing w:after="40"/>
            </w:pPr>
            <w:r>
              <w:rPr>
                <w:sz w:val="19"/>
              </w:rPr>
            </w:r>
            <w:r>
              <w:rPr>
                <w:sz w:val="19"/>
              </w:rPr>
              <w:t>&lt; 50 ms</w:t>
            </w:r>
          </w:p>
        </w:tc>
        <w:tc>
          <w:tcPr>
            <w:tcW w:type="dxa" w:w="2551"/>
          </w:tcPr>
          <w:p>
            <w:pPr>
              <w:spacing w:after="40"/>
            </w:pPr>
            <w:r>
              <w:rPr>
                <w:sz w:val="19"/>
              </w:rPr>
            </w:r>
            <w:r>
              <w:rPr>
                <w:b/>
                <w:sz w:val="19"/>
              </w:rPr>
              <w:t>0.004 ms</w:t>
            </w:r>
          </w:p>
        </w:tc>
      </w:tr>
      <w:tr>
        <w:tc>
          <w:tcPr>
            <w:tcW w:type="dxa" w:w="3969"/>
          </w:tcPr>
          <w:p>
            <w:pPr>
              <w:spacing w:after="40"/>
            </w:pPr>
            <w:r>
              <w:rPr>
                <w:sz w:val="19"/>
              </w:rPr>
            </w:r>
            <w:r>
              <w:rPr>
                <w:sz w:val="19"/>
              </w:rPr>
              <w:t>Authenticated read, server-side p95</w:t>
            </w:r>
          </w:p>
        </w:tc>
        <w:tc>
          <w:tcPr>
            <w:tcW w:type="dxa" w:w="1701"/>
          </w:tcPr>
          <w:p>
            <w:pPr>
              <w:spacing w:after="40"/>
            </w:pPr>
            <w:r>
              <w:rPr>
                <w:sz w:val="19"/>
              </w:rPr>
            </w:r>
            <w:r>
              <w:rPr>
                <w:sz w:val="19"/>
              </w:rPr>
              <w:t>&lt; 300 ms</w:t>
            </w:r>
          </w:p>
        </w:tc>
        <w:tc>
          <w:tcPr>
            <w:tcW w:type="dxa" w:w="2551"/>
          </w:tcPr>
          <w:p>
            <w:pPr>
              <w:spacing w:after="40"/>
            </w:pPr>
            <w:r>
              <w:rPr>
                <w:sz w:val="19"/>
              </w:rPr>
            </w:r>
            <w:r>
              <w:rPr>
                <w:b/>
                <w:sz w:val="19"/>
              </w:rPr>
              <w:t>1.6 ms</w:t>
            </w:r>
          </w:p>
        </w:tc>
      </w:tr>
      <w:tr>
        <w:tc>
          <w:tcPr>
            <w:tcW w:type="dxa" w:w="3969"/>
          </w:tcPr>
          <w:p>
            <w:pPr>
              <w:spacing w:after="40"/>
            </w:pPr>
            <w:r>
              <w:rPr>
                <w:sz w:val="19"/>
              </w:rPr>
            </w:r>
            <w:r>
              <w:rPr>
                <w:sz w:val="19"/>
              </w:rPr>
              <w:t>Android JS bundle (Hermes)</w:t>
            </w:r>
          </w:p>
        </w:tc>
        <w:tc>
          <w:tcPr>
            <w:tcW w:type="dxa" w:w="1701"/>
          </w:tcPr>
          <w:p>
            <w:pPr>
              <w:spacing w:after="40"/>
            </w:pPr>
            <w:r>
              <w:rPr>
                <w:sz w:val="19"/>
              </w:rPr>
            </w:r>
            <w:r>
              <w:rPr>
                <w:sz w:val="19"/>
              </w:rPr>
              <w:t>—</w:t>
            </w:r>
          </w:p>
        </w:tc>
        <w:tc>
          <w:tcPr>
            <w:tcW w:type="dxa" w:w="2551"/>
          </w:tcPr>
          <w:p>
            <w:pPr>
              <w:spacing w:after="40"/>
            </w:pPr>
            <w:r>
              <w:rPr>
                <w:sz w:val="19"/>
              </w:rPr>
            </w:r>
            <w:r>
              <w:rPr>
                <w:b/>
                <w:sz w:val="19"/>
              </w:rPr>
              <w:t>7.4 MB</w:t>
            </w:r>
          </w:p>
        </w:tc>
      </w:tr>
      <w:tr>
        <w:tc>
          <w:tcPr>
            <w:tcW w:type="dxa" w:w="3969"/>
          </w:tcPr>
          <w:p>
            <w:pPr>
              <w:spacing w:after="40"/>
            </w:pPr>
            <w:r>
              <w:rPr>
                <w:sz w:val="19"/>
              </w:rPr>
            </w:r>
            <w:r>
              <w:rPr>
                <w:sz w:val="19"/>
              </w:rPr>
              <w:t>Cold start on device</w:t>
            </w:r>
          </w:p>
        </w:tc>
        <w:tc>
          <w:tcPr>
            <w:tcW w:type="dxa" w:w="1701"/>
          </w:tcPr>
          <w:p>
            <w:pPr>
              <w:spacing w:after="40"/>
            </w:pPr>
            <w:r>
              <w:rPr>
                <w:sz w:val="19"/>
              </w:rPr>
            </w:r>
            <w:r>
              <w:rPr>
                <w:sz w:val="19"/>
              </w:rPr>
              <w:t>&lt; 3 s</w:t>
            </w:r>
          </w:p>
        </w:tc>
        <w:tc>
          <w:tcPr>
            <w:tcW w:type="dxa" w:w="2551"/>
          </w:tcPr>
          <w:p>
            <w:pPr>
              <w:spacing w:after="40"/>
            </w:pPr>
            <w:r>
              <w:rPr>
                <w:sz w:val="19"/>
              </w:rPr>
            </w:r>
            <w:r>
              <w:rPr>
                <w:b/>
                <w:sz w:val="19"/>
                <w:highlight w:val="yellow"/>
              </w:rPr>
              <w:t>【TBC】</w:t>
            </w:r>
          </w:p>
        </w:tc>
      </w:tr>
    </w:tbl>
    <w:p>
      <w:pPr>
        <w:spacing w:after="80"/>
      </w:pPr>
    </w:p>
    <w:p>
      <w:r>
        <w:t xml:space="preserve">Both budgets are met with orders to spare, and both are </w:t>
      </w:r>
      <w:r>
        <w:rPr>
          <w:b/>
        </w:rPr>
        <w:t>asserted in CI</w:t>
      </w:r>
      <w:r>
        <w:t xml:space="preserve">. The latency figure is server-side by design: </w:t>
      </w:r>
      <w:r>
        <w:rPr>
          <w:rFonts w:ascii="Consolas" w:hAnsi="Consolas"/>
          <w:sz w:val="20"/>
        </w:rPr>
        <w:t>php artisan serve</w:t>
      </w:r>
      <w:r>
        <w:t xml:space="preserve"> re-bootstraps PHP per request, adding ~265 ms a php-fpm deployment does not, so its 418 ms end-to-end p95 measures the harness, not the API.</w:t>
      </w:r>
    </w:p>
    <w:p>
      <w:r>
        <w:t xml:space="preserve">Security was tested rather than asserted: </w:t>
      </w:r>
      <w:r>
        <w:rPr>
          <w:b/>
        </w:rPr>
        <w:t>19</w:t>
      </w:r>
      <w:r>
        <w:t xml:space="preserve"> tests assert cross-account isolation, </w:t>
      </w:r>
      <w:r>
        <w:rPr>
          <w:b/>
        </w:rPr>
        <w:t>17</w:t>
      </w:r>
      <w:r>
        <w:t xml:space="preserve"> that unauthenticated routes are refused, </w:t>
      </w:r>
      <w:r>
        <w:rPr>
          <w:b/>
        </w:rPr>
        <w:t>5</w:t>
      </w:r>
      <w:r>
        <w:t xml:space="preserve"> the login throttles; scanning all 46 commits for keys returned nothing. The design was reviewed against the OWASP Mobile Top 10 (OWASP, 2024)</w:t>
      </w:r>
      <w:r>
        <w:rPr>
          <w:b/>
          <w:highlight w:val="yellow"/>
        </w:rPr>
        <w:t>【VERIFY】</w:t>
      </w:r>
      <w:r>
        <w:t xml:space="preserve"> (Appendix C). Two residual risks are stated rather than hidden: a public MQTT broker (ADR-0003) and foreground-only location (ADR-0004).</w:t>
      </w:r>
    </w:p>
    <w:p>
      <w:pPr>
        <w:pStyle w:val="Heading2"/>
      </w:pPr>
      <w:r>
        <w:t>5.3 Usability evaluation</w:t>
      </w:r>
    </w:p>
    <w:p>
      <w:r>
        <w:rPr>
          <w:b/>
          <w:highlight w:val="yellow"/>
        </w:rPr>
        <w:t>⟦ Complete after REPORT-PLAN §6 P2. ⟧</w:t>
      </w:r>
      <w:r>
        <w:t xml:space="preserve"> The System Usability Scale (Brooke, 1996) was administered to </w:t>
      </w:r>
      <w:r>
        <w:rPr>
          <w:b/>
        </w:rPr>
        <w:t>n = 5</w:t>
      </w:r>
      <w:r>
        <w:t xml:space="preserve"> after four scripted tasks. Mean SUS was </w:t>
      </w:r>
      <w:r>
        <w:rPr>
          <w:b/>
          <w:highlight w:val="yellow"/>
        </w:rPr>
        <w:t>【TBC】</w:t>
      </w:r>
      <w:r>
        <w:t xml:space="preserve"> (SD </w:t>
      </w:r>
      <w:r>
        <w:rPr>
          <w:b/>
          <w:highlight w:val="yellow"/>
        </w:rPr>
        <w:t>【TBC】</w:t>
      </w:r>
      <w:r>
        <w:t xml:space="preserve">) against the acceptability anchor of 68 (Bangor </w:t>
      </w:r>
      <w:r>
        <w:rPr>
          <w:i/>
        </w:rPr>
        <w:t>et al.</w:t>
      </w:r>
      <w:r>
        <w:t>, 2009)</w:t>
      </w:r>
      <w:r>
        <w:rPr>
          <w:b/>
          <w:highlight w:val="yellow"/>
        </w:rPr>
        <w:t>【VERIFY】</w:t>
      </w:r>
      <w:r>
        <w:t xml:space="preserve">; a Nielsen (1994) walkthrough found </w:t>
      </w:r>
      <w:r>
        <w:rPr>
          <w:b/>
          <w:highlight w:val="yellow"/>
        </w:rPr>
        <w:t>【TBC】</w:t>
      </w:r>
      <w:r>
        <w:t xml:space="preserve"> issues, </w:t>
      </w:r>
      <w:r>
        <w:rPr>
          <w:b/>
          <w:highlight w:val="yellow"/>
        </w:rPr>
        <w:t>【TBC】</w:t>
      </w:r>
      <w:r>
        <w:t xml:space="preserve"> major. </w:t>
      </w:r>
      <w:r>
        <w:rPr>
          <w:b/>
          <w:highlight w:val="yellow"/>
        </w:rPr>
        <w:t>⟦ Name the two most severe. ⟧</w:t>
      </w:r>
      <w:r>
        <w:t xml:space="preserve"> Five participants detect severe problems but estimate the mean coarsely, so this is formative evidence.</w:t>
      </w:r>
    </w:p>
    <w:p>
      <w:pPr>
        <w:pStyle w:val="Heading2"/>
      </w:pPr>
      <w:r>
        <w:t>5.4 Model performance and effectiveness</w:t>
      </w:r>
    </w:p>
    <w:p>
      <w:r>
        <w:rPr>
          <w:b/>
        </w:rPr>
        <w:t>Target selection.</w:t>
      </w:r>
      <w:r>
        <w:t xml:space="preserve"> The focus self-report is seven mutually exclusive categories covering 3.15% of hourly rows, so the task is classification. Of four binary targets the </w:t>
      </w:r>
      <w:r>
        <w:rPr>
          <w:b/>
        </w:rPr>
        <w:t>activation</w:t>
      </w:r>
      <w:r>
        <w:t xml:space="preserve"> axis scored ROC-AUC 0.654 and </w:t>
      </w:r>
      <w:r>
        <w:rPr>
          <w:b/>
        </w:rPr>
        <w:t>valence</w:t>
      </w:r>
      <w:r>
        <w:t xml:space="preserve"> 0.568 — as Russell’s (1980) circumplex predicts (§2.3).</w:t>
      </w:r>
    </w:p>
    <w:p>
      <w:pPr>
        <w:pStyle w:val="CaptionText"/>
      </w:pPr>
      <w:r>
        <w:t>Table 6 — Baselines, participant-wise five-fold CV</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3515"/>
            <w:shd w:fill="D9E2F3"/>
          </w:tcPr>
          <w:p>
            <w:pPr>
              <w:spacing w:after="40"/>
            </w:pPr>
            <w:r>
              <w:rPr>
                <w:b/>
                <w:sz w:val="19"/>
              </w:rPr>
            </w:r>
            <w:r>
              <w:rPr>
                <w:b/>
                <w:sz w:val="19"/>
              </w:rPr>
              <w:t>Model</w:t>
            </w:r>
          </w:p>
        </w:tc>
        <w:tc>
          <w:tcPr>
            <w:tcW w:type="dxa" w:w="1644"/>
            <w:shd w:fill="D9E2F3"/>
          </w:tcPr>
          <w:p>
            <w:pPr>
              <w:spacing w:after="40"/>
            </w:pPr>
            <w:r>
              <w:rPr>
                <w:b/>
                <w:sz w:val="19"/>
              </w:rPr>
            </w:r>
            <w:r>
              <w:rPr>
                <w:b/>
                <w:sz w:val="19"/>
              </w:rPr>
              <w:t>ROC-AUC</w:t>
            </w:r>
          </w:p>
        </w:tc>
        <w:tc>
          <w:tcPr>
            <w:tcW w:type="dxa" w:w="1077"/>
            <w:shd w:fill="D9E2F3"/>
          </w:tcPr>
          <w:p>
            <w:pPr>
              <w:spacing w:after="40"/>
            </w:pPr>
            <w:r>
              <w:rPr>
                <w:b/>
                <w:sz w:val="19"/>
              </w:rPr>
            </w:r>
            <w:r>
              <w:rPr>
                <w:b/>
                <w:sz w:val="19"/>
              </w:rPr>
              <w:t>F1</w:t>
            </w:r>
          </w:p>
        </w:tc>
        <w:tc>
          <w:tcPr>
            <w:tcW w:type="dxa" w:w="1077"/>
            <w:shd w:fill="D9E2F3"/>
          </w:tcPr>
          <w:p>
            <w:pPr>
              <w:spacing w:after="40"/>
            </w:pPr>
            <w:r>
              <w:rPr>
                <w:b/>
                <w:sz w:val="19"/>
              </w:rPr>
            </w:r>
            <w:r>
              <w:rPr>
                <w:b/>
                <w:sz w:val="19"/>
              </w:rPr>
              <w:t>Recall</w:t>
            </w:r>
          </w:p>
        </w:tc>
      </w:tr>
      <w:tr>
        <w:tc>
          <w:tcPr>
            <w:tcW w:type="dxa" w:w="3515"/>
          </w:tcPr>
          <w:p>
            <w:pPr>
              <w:spacing w:after="40"/>
            </w:pPr>
            <w:r>
              <w:rPr>
                <w:sz w:val="19"/>
              </w:rPr>
            </w:r>
            <w:r>
              <w:rPr>
                <w:b/>
                <w:sz w:val="19"/>
              </w:rPr>
              <w:t>Logistic regression</w:t>
            </w:r>
          </w:p>
        </w:tc>
        <w:tc>
          <w:tcPr>
            <w:tcW w:type="dxa" w:w="1644"/>
          </w:tcPr>
          <w:p>
            <w:pPr>
              <w:spacing w:after="40"/>
            </w:pPr>
            <w:r>
              <w:rPr>
                <w:sz w:val="19"/>
              </w:rPr>
            </w:r>
            <w:r>
              <w:rPr>
                <w:b/>
                <w:sz w:val="19"/>
              </w:rPr>
              <w:t>0.656 ± 0.027</w:t>
            </w:r>
          </w:p>
        </w:tc>
        <w:tc>
          <w:tcPr>
            <w:tcW w:type="dxa" w:w="1077"/>
          </w:tcPr>
          <w:p>
            <w:pPr>
              <w:spacing w:after="40"/>
            </w:pPr>
            <w:r>
              <w:rPr>
                <w:sz w:val="19"/>
              </w:rPr>
            </w:r>
            <w:r>
              <w:rPr>
                <w:sz w:val="19"/>
              </w:rPr>
              <w:t>0.543</w:t>
            </w:r>
          </w:p>
        </w:tc>
        <w:tc>
          <w:tcPr>
            <w:tcW w:type="dxa" w:w="1077"/>
          </w:tcPr>
          <w:p>
            <w:pPr>
              <w:spacing w:after="40"/>
            </w:pPr>
            <w:r>
              <w:rPr>
                <w:sz w:val="19"/>
              </w:rPr>
            </w:r>
            <w:r>
              <w:rPr>
                <w:sz w:val="19"/>
              </w:rPr>
              <w:t>0.503</w:t>
            </w:r>
          </w:p>
        </w:tc>
      </w:tr>
      <w:tr>
        <w:tc>
          <w:tcPr>
            <w:tcW w:type="dxa" w:w="3515"/>
          </w:tcPr>
          <w:p>
            <w:pPr>
              <w:spacing w:after="40"/>
            </w:pPr>
            <w:r>
              <w:rPr>
                <w:sz w:val="19"/>
              </w:rPr>
            </w:r>
            <w:r>
              <w:rPr>
                <w:sz w:val="19"/>
              </w:rPr>
              <w:t>MLP (16, 8)</w:t>
            </w:r>
          </w:p>
        </w:tc>
        <w:tc>
          <w:tcPr>
            <w:tcW w:type="dxa" w:w="1644"/>
          </w:tcPr>
          <w:p>
            <w:pPr>
              <w:spacing w:after="40"/>
            </w:pPr>
            <w:r>
              <w:rPr>
                <w:sz w:val="19"/>
              </w:rPr>
            </w:r>
            <w:r>
              <w:rPr>
                <w:sz w:val="19"/>
              </w:rPr>
              <w:t>0.626 ± 0.038</w:t>
            </w:r>
          </w:p>
        </w:tc>
        <w:tc>
          <w:tcPr>
            <w:tcW w:type="dxa" w:w="1077"/>
          </w:tcPr>
          <w:p>
            <w:pPr>
              <w:spacing w:after="40"/>
            </w:pPr>
            <w:r>
              <w:rPr>
                <w:sz w:val="19"/>
              </w:rPr>
            </w:r>
            <w:r>
              <w:rPr>
                <w:sz w:val="19"/>
              </w:rPr>
              <w:t>0.526</w:t>
            </w:r>
          </w:p>
        </w:tc>
        <w:tc>
          <w:tcPr>
            <w:tcW w:type="dxa" w:w="1077"/>
          </w:tcPr>
          <w:p>
            <w:pPr>
              <w:spacing w:after="40"/>
            </w:pPr>
            <w:r>
              <w:rPr>
                <w:sz w:val="19"/>
              </w:rPr>
            </w:r>
            <w:r>
              <w:rPr>
                <w:sz w:val="19"/>
              </w:rPr>
              <w:t>0.490</w:t>
            </w:r>
          </w:p>
        </w:tc>
      </w:tr>
      <w:tr>
        <w:tc>
          <w:tcPr>
            <w:tcW w:type="dxa" w:w="3515"/>
          </w:tcPr>
          <w:p>
            <w:pPr>
              <w:spacing w:after="40"/>
            </w:pPr>
            <w:r>
              <w:rPr>
                <w:sz w:val="19"/>
              </w:rPr>
            </w:r>
            <w:r>
              <w:rPr>
                <w:sz w:val="19"/>
              </w:rPr>
              <w:t xml:space="preserve">Hour-of-day lookup </w:t>
            </w:r>
            <w:r>
              <w:rPr>
                <w:i/>
                <w:sz w:val="19"/>
              </w:rPr>
              <w:t>(baseline)</w:t>
            </w:r>
          </w:p>
        </w:tc>
        <w:tc>
          <w:tcPr>
            <w:tcW w:type="dxa" w:w="1644"/>
          </w:tcPr>
          <w:p>
            <w:pPr>
              <w:spacing w:after="40"/>
            </w:pPr>
            <w:r>
              <w:rPr>
                <w:sz w:val="19"/>
              </w:rPr>
            </w:r>
            <w:r>
              <w:rPr>
                <w:sz w:val="19"/>
              </w:rPr>
              <w:t>0.599 ± 0.039</w:t>
            </w:r>
          </w:p>
        </w:tc>
        <w:tc>
          <w:tcPr>
            <w:tcW w:type="dxa" w:w="1077"/>
          </w:tcPr>
          <w:p>
            <w:pPr>
              <w:spacing w:after="40"/>
            </w:pPr>
            <w:r>
              <w:rPr>
                <w:sz w:val="19"/>
              </w:rPr>
            </w:r>
            <w:r>
              <w:rPr>
                <w:sz w:val="19"/>
              </w:rPr>
              <w:t>0.443</w:t>
            </w:r>
          </w:p>
        </w:tc>
        <w:tc>
          <w:tcPr>
            <w:tcW w:type="dxa" w:w="1077"/>
          </w:tcPr>
          <w:p>
            <w:pPr>
              <w:spacing w:after="40"/>
            </w:pPr>
            <w:r>
              <w:rPr>
                <w:sz w:val="19"/>
              </w:rPr>
            </w:r>
            <w:r>
              <w:rPr>
                <w:sz w:val="19"/>
              </w:rPr>
              <w:t>0.374</w:t>
            </w:r>
          </w:p>
        </w:tc>
      </w:tr>
      <w:tr>
        <w:tc>
          <w:tcPr>
            <w:tcW w:type="dxa" w:w="3515"/>
          </w:tcPr>
          <w:p>
            <w:pPr>
              <w:spacing w:after="40"/>
            </w:pPr>
            <w:r>
              <w:rPr>
                <w:sz w:val="19"/>
              </w:rPr>
            </w:r>
            <w:r>
              <w:rPr>
                <w:sz w:val="19"/>
              </w:rPr>
              <w:t xml:space="preserve">Base and personal rate </w:t>
            </w:r>
            <w:r>
              <w:rPr>
                <w:i/>
                <w:sz w:val="19"/>
              </w:rPr>
              <w:t>(baselines)</w:t>
            </w:r>
          </w:p>
        </w:tc>
        <w:tc>
          <w:tcPr>
            <w:tcW w:type="dxa" w:w="1644"/>
          </w:tcPr>
          <w:p>
            <w:pPr>
              <w:spacing w:after="40"/>
            </w:pPr>
            <w:r>
              <w:rPr>
                <w:sz w:val="19"/>
              </w:rPr>
            </w:r>
            <w:r>
              <w:rPr>
                <w:sz w:val="19"/>
              </w:rPr>
              <w:t>0.500</w:t>
            </w:r>
          </w:p>
        </w:tc>
        <w:tc>
          <w:tcPr>
            <w:tcW w:type="dxa" w:w="1077"/>
          </w:tcPr>
          <w:p>
            <w:pPr>
              <w:spacing w:after="40"/>
            </w:pPr>
            <w:r>
              <w:rPr>
                <w:sz w:val="19"/>
              </w:rPr>
            </w:r>
            <w:r>
              <w:rPr>
                <w:sz w:val="19"/>
              </w:rPr>
              <w:t>0.000</w:t>
            </w:r>
          </w:p>
        </w:tc>
        <w:tc>
          <w:tcPr>
            <w:tcW w:type="dxa" w:w="1077"/>
          </w:tcPr>
          <w:p>
            <w:pPr>
              <w:spacing w:after="40"/>
            </w:pPr>
            <w:r>
              <w:rPr>
                <w:sz w:val="19"/>
              </w:rPr>
            </w:r>
            <w:r>
              <w:rPr>
                <w:sz w:val="19"/>
              </w:rPr>
              <w:t>0.000</w:t>
            </w:r>
          </w:p>
        </w:tc>
      </w:tr>
    </w:tbl>
    <w:p>
      <w:pPr>
        <w:spacing w:after="80"/>
      </w:pPr>
    </w:p>
    <w:p>
      <w:r>
        <w:t xml:space="preserve">The linear model beats the strongest baseline by 0.057 AUC; </w:t>
      </w:r>
      <w:r>
        <w:rPr>
          <w:b/>
        </w:rPr>
        <w:t>the neural network lost</w:t>
      </w:r>
      <w:r>
        <w:t xml:space="preserve"> on ~2,400 rows. The personal-rate baseline scoring </w:t>
      </w:r>
      <w:r>
        <w:rPr>
          <w:b/>
        </w:rPr>
        <w:t>exactly</w:t>
      </w:r>
      <w:r>
        <w:t xml:space="preserve"> 0.500 is a leakage check that passed: under a participant-wise split a per-person lookup must collapse to the base rate. Decoding the cyclical hour coefficients recovers a learned </w:t>
      </w:r>
      <w:r>
        <w:rPr>
          <w:b/>
        </w:rPr>
        <w:t>circadian peak at 09:26</w:t>
      </w:r>
      <w:r>
        <w:t xml:space="preserve"> — unprompted agreement with chronobiology.</w:t>
      </w:r>
    </w:p>
    <w:p>
      <w:pPr>
        <w:pStyle w:val="CaptionText"/>
      </w:pPr>
      <w:r>
        <w:t>Figure 3 — Confusion matrix and strongest coefficients</w:t>
      </w:r>
    </w:p>
    <w:p>
      <w:pPr>
        <w:spacing w:after="200"/>
        <w:jc w:val="center"/>
      </w:pPr>
      <w:r>
        <w:drawing>
          <wp:inline xmlns:a="http://schemas.openxmlformats.org/drawingml/2006/main" xmlns:pic="http://schemas.openxmlformats.org/drawingml/2006/picture">
            <wp:extent cx="5580000" cy="2077660"/>
            <wp:docPr id="1" name="Picture 1"/>
            <wp:cNvGraphicFramePr>
              <a:graphicFrameLocks noChangeAspect="1"/>
            </wp:cNvGraphicFramePr>
            <a:graphic>
              <a:graphicData uri="http://schemas.openxmlformats.org/drawingml/2006/picture">
                <pic:pic>
                  <pic:nvPicPr>
                    <pic:cNvPr id="0" name="fig-model-results.png"/>
                    <pic:cNvPicPr/>
                  </pic:nvPicPr>
                  <pic:blipFill>
                    <a:blip r:embed="rId10"/>
                    <a:stretch>
                      <a:fillRect/>
                    </a:stretch>
                  </pic:blipFill>
                  <pic:spPr>
                    <a:xfrm>
                      <a:off x="0" y="0"/>
                      <a:ext cx="5580000" cy="2077660"/>
                    </a:xfrm>
                    <a:prstGeom prst="rect"/>
                  </pic:spPr>
                </pic:pic>
              </a:graphicData>
            </a:graphic>
          </wp:inline>
        </w:drawing>
      </w:r>
    </w:p>
    <w:p>
      <w:pPr>
        <w:pStyle w:val="CaptionText"/>
      </w:pPr>
      <w:r>
        <w:t xml:space="preserve">Table 7 — </w:t>
      </w:r>
      <w:r>
        <w:rPr>
          <w:b/>
        </w:rPr>
        <w:t>Effectiveness</w:t>
      </w:r>
      <w:r>
        <w:t>: hours ranked by predicted readiness, top k checked (base rate 0.447)</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4649"/>
            <w:shd w:fill="D9E2F3"/>
          </w:tcPr>
          <w:p>
            <w:pPr>
              <w:spacing w:after="40"/>
            </w:pPr>
            <w:r>
              <w:rPr>
                <w:b/>
                <w:sz w:val="19"/>
              </w:rPr>
            </w:r>
            <w:r>
              <w:rPr>
                <w:b/>
                <w:sz w:val="19"/>
              </w:rPr>
              <w:t>Policy</w:t>
            </w:r>
          </w:p>
        </w:tc>
        <w:tc>
          <w:tcPr>
            <w:tcW w:type="dxa" w:w="1191"/>
            <w:shd w:fill="D9E2F3"/>
          </w:tcPr>
          <w:p>
            <w:pPr>
              <w:spacing w:after="40"/>
            </w:pPr>
            <w:r>
              <w:rPr>
                <w:b/>
                <w:sz w:val="19"/>
              </w:rPr>
            </w:r>
            <w:r>
              <w:rPr>
                <w:b/>
                <w:sz w:val="19"/>
              </w:rPr>
              <w:t>P@1</w:t>
            </w:r>
          </w:p>
        </w:tc>
        <w:tc>
          <w:tcPr>
            <w:tcW w:type="dxa" w:w="1191"/>
            <w:shd w:fill="D9E2F3"/>
          </w:tcPr>
          <w:p>
            <w:pPr>
              <w:spacing w:after="40"/>
            </w:pPr>
            <w:r>
              <w:rPr>
                <w:b/>
                <w:sz w:val="19"/>
              </w:rPr>
            </w:r>
            <w:r>
              <w:rPr>
                <w:b/>
                <w:sz w:val="19"/>
              </w:rPr>
              <w:t>P@3</w:t>
            </w:r>
          </w:p>
        </w:tc>
        <w:tc>
          <w:tcPr>
            <w:tcW w:type="dxa" w:w="1191"/>
            <w:shd w:fill="D9E2F3"/>
          </w:tcPr>
          <w:p>
            <w:pPr>
              <w:spacing w:after="40"/>
            </w:pPr>
            <w:r>
              <w:rPr>
                <w:b/>
                <w:sz w:val="19"/>
              </w:rPr>
            </w:r>
            <w:r>
              <w:rPr>
                <w:b/>
                <w:sz w:val="19"/>
              </w:rPr>
              <w:t>P@5</w:t>
            </w:r>
          </w:p>
        </w:tc>
      </w:tr>
      <w:tr>
        <w:tc>
          <w:tcPr>
            <w:tcW w:type="dxa" w:w="4649"/>
          </w:tcPr>
          <w:p>
            <w:pPr>
              <w:spacing w:after="40"/>
            </w:pPr>
            <w:r>
              <w:rPr>
                <w:sz w:val="19"/>
              </w:rPr>
            </w:r>
            <w:r>
              <w:rPr>
                <w:sz w:val="19"/>
              </w:rPr>
              <w:t xml:space="preserve">AuraFlow </w:t>
            </w:r>
            <w:r>
              <w:rPr>
                <w:i/>
                <w:sz w:val="19"/>
              </w:rPr>
              <w:t>(observed context)</w:t>
            </w:r>
          </w:p>
        </w:tc>
        <w:tc>
          <w:tcPr>
            <w:tcW w:type="dxa" w:w="1191"/>
          </w:tcPr>
          <w:p>
            <w:pPr>
              <w:spacing w:after="40"/>
            </w:pPr>
            <w:r>
              <w:rPr>
                <w:sz w:val="19"/>
              </w:rPr>
            </w:r>
            <w:r>
              <w:rPr>
                <w:sz w:val="19"/>
              </w:rPr>
              <w:t>0.667</w:t>
            </w:r>
          </w:p>
        </w:tc>
        <w:tc>
          <w:tcPr>
            <w:tcW w:type="dxa" w:w="1191"/>
          </w:tcPr>
          <w:p>
            <w:pPr>
              <w:spacing w:after="40"/>
            </w:pPr>
            <w:r>
              <w:rPr>
                <w:sz w:val="19"/>
              </w:rPr>
            </w:r>
            <w:r>
              <w:rPr>
                <w:sz w:val="19"/>
              </w:rPr>
              <w:t>0.652</w:t>
            </w:r>
          </w:p>
        </w:tc>
        <w:tc>
          <w:tcPr>
            <w:tcW w:type="dxa" w:w="1191"/>
          </w:tcPr>
          <w:p>
            <w:pPr>
              <w:spacing w:after="40"/>
            </w:pPr>
            <w:r>
              <w:rPr>
                <w:sz w:val="19"/>
              </w:rPr>
            </w:r>
            <w:r>
              <w:rPr>
                <w:sz w:val="19"/>
              </w:rPr>
              <w:t>0.653</w:t>
            </w:r>
          </w:p>
        </w:tc>
      </w:tr>
      <w:tr>
        <w:tc>
          <w:tcPr>
            <w:tcW w:type="dxa" w:w="4649"/>
          </w:tcPr>
          <w:p>
            <w:pPr>
              <w:spacing w:after="40"/>
            </w:pPr>
            <w:r>
              <w:rPr>
                <w:sz w:val="19"/>
              </w:rPr>
            </w:r>
            <w:r>
              <w:rPr>
                <w:b/>
                <w:sz w:val="19"/>
              </w:rPr>
              <w:t>AuraFlow (time and biometrics)</w:t>
            </w:r>
          </w:p>
        </w:tc>
        <w:tc>
          <w:tcPr>
            <w:tcW w:type="dxa" w:w="1191"/>
          </w:tcPr>
          <w:p>
            <w:pPr>
              <w:spacing w:after="40"/>
            </w:pPr>
            <w:r>
              <w:rPr>
                <w:sz w:val="19"/>
              </w:rPr>
            </w:r>
            <w:r>
              <w:rPr>
                <w:b/>
                <w:sz w:val="19"/>
              </w:rPr>
              <w:t>0.600</w:t>
            </w:r>
          </w:p>
        </w:tc>
        <w:tc>
          <w:tcPr>
            <w:tcW w:type="dxa" w:w="1191"/>
          </w:tcPr>
          <w:p>
            <w:pPr>
              <w:spacing w:after="40"/>
            </w:pPr>
            <w:r>
              <w:rPr>
                <w:sz w:val="19"/>
              </w:rPr>
            </w:r>
            <w:r>
              <w:rPr>
                <w:sz w:val="19"/>
              </w:rPr>
              <w:t>0.593</w:t>
            </w:r>
          </w:p>
        </w:tc>
        <w:tc>
          <w:tcPr>
            <w:tcW w:type="dxa" w:w="1191"/>
          </w:tcPr>
          <w:p>
            <w:pPr>
              <w:spacing w:after="40"/>
            </w:pPr>
            <w:r>
              <w:rPr>
                <w:sz w:val="19"/>
              </w:rPr>
            </w:r>
            <w:r>
              <w:rPr>
                <w:sz w:val="19"/>
              </w:rPr>
              <w:t>0.578</w:t>
            </w:r>
          </w:p>
        </w:tc>
      </w:tr>
      <w:tr>
        <w:tc>
          <w:tcPr>
            <w:tcW w:type="dxa" w:w="4649"/>
          </w:tcPr>
          <w:p>
            <w:pPr>
              <w:spacing w:after="40"/>
            </w:pPr>
            <w:r>
              <w:rPr>
                <w:sz w:val="19"/>
              </w:rPr>
            </w:r>
            <w:r>
              <w:rPr>
                <w:sz w:val="19"/>
              </w:rPr>
              <w:t xml:space="preserve">Fixed 09:00 </w:t>
            </w:r>
            <w:r>
              <w:rPr>
                <w:i/>
                <w:sz w:val="19"/>
              </w:rPr>
              <w:t>(“work in the morning”)</w:t>
            </w:r>
          </w:p>
        </w:tc>
        <w:tc>
          <w:tcPr>
            <w:tcW w:type="dxa" w:w="1191"/>
          </w:tcPr>
          <w:p>
            <w:pPr>
              <w:spacing w:after="40"/>
            </w:pPr>
            <w:r>
              <w:rPr>
                <w:sz w:val="19"/>
              </w:rPr>
            </w:r>
            <w:r>
              <w:rPr>
                <w:sz w:val="19"/>
              </w:rPr>
              <w:t>0.578</w:t>
            </w:r>
          </w:p>
        </w:tc>
        <w:tc>
          <w:tcPr>
            <w:tcW w:type="dxa" w:w="1191"/>
          </w:tcPr>
          <w:p>
            <w:pPr>
              <w:spacing w:after="40"/>
            </w:pPr>
            <w:r>
              <w:rPr>
                <w:sz w:val="19"/>
              </w:rPr>
            </w:r>
            <w:r>
              <w:rPr>
                <w:sz w:val="19"/>
              </w:rPr>
              <w:t>0.556</w:t>
            </w:r>
          </w:p>
        </w:tc>
        <w:tc>
          <w:tcPr>
            <w:tcW w:type="dxa" w:w="1191"/>
          </w:tcPr>
          <w:p>
            <w:pPr>
              <w:spacing w:after="40"/>
            </w:pPr>
            <w:r>
              <w:rPr>
                <w:sz w:val="19"/>
              </w:rPr>
            </w:r>
            <w:r>
              <w:rPr>
                <w:sz w:val="19"/>
              </w:rPr>
              <w:t>0.542</w:t>
            </w:r>
          </w:p>
        </w:tc>
      </w:tr>
      <w:tr>
        <w:tc>
          <w:tcPr>
            <w:tcW w:type="dxa" w:w="4649"/>
          </w:tcPr>
          <w:p>
            <w:pPr>
              <w:spacing w:after="40"/>
            </w:pPr>
            <w:r>
              <w:rPr>
                <w:sz w:val="19"/>
              </w:rPr>
            </w:r>
            <w:r>
              <w:rPr>
                <w:sz w:val="19"/>
              </w:rPr>
              <w:t>Population hour lookup</w:t>
            </w:r>
          </w:p>
        </w:tc>
        <w:tc>
          <w:tcPr>
            <w:tcW w:type="dxa" w:w="1191"/>
          </w:tcPr>
          <w:p>
            <w:pPr>
              <w:spacing w:after="40"/>
            </w:pPr>
            <w:r>
              <w:rPr>
                <w:sz w:val="19"/>
              </w:rPr>
            </w:r>
            <w:r>
              <w:rPr>
                <w:sz w:val="19"/>
              </w:rPr>
              <w:t>0.533</w:t>
            </w:r>
          </w:p>
        </w:tc>
        <w:tc>
          <w:tcPr>
            <w:tcW w:type="dxa" w:w="1191"/>
          </w:tcPr>
          <w:p>
            <w:pPr>
              <w:spacing w:after="40"/>
            </w:pPr>
            <w:r>
              <w:rPr>
                <w:sz w:val="19"/>
              </w:rPr>
            </w:r>
            <w:r>
              <w:rPr>
                <w:sz w:val="19"/>
              </w:rPr>
              <w:t>0.519</w:t>
            </w:r>
          </w:p>
        </w:tc>
        <w:tc>
          <w:tcPr>
            <w:tcW w:type="dxa" w:w="1191"/>
          </w:tcPr>
          <w:p>
            <w:pPr>
              <w:spacing w:after="40"/>
            </w:pPr>
            <w:r>
              <w:rPr>
                <w:sz w:val="19"/>
              </w:rPr>
            </w:r>
            <w:r>
              <w:rPr>
                <w:sz w:val="19"/>
              </w:rPr>
              <w:t>0.493</w:t>
            </w:r>
          </w:p>
        </w:tc>
      </w:tr>
    </w:tbl>
    <w:p>
      <w:pPr>
        <w:spacing w:after="80"/>
      </w:pPr>
    </w:p>
    <w:p>
      <w:r>
        <w:rPr>
          <w:b/>
        </w:rPr>
        <w:t>The defensible figure is 0.600, not 0.667</w:t>
      </w:r>
      <w:r>
        <w:t xml:space="preserve">: the strongest features record where a person </w:t>
      </w:r>
      <w:r>
        <w:rPr>
          <w:i/>
        </w:rPr>
        <w:t>was</w:t>
      </w:r>
      <w:r>
        <w:t xml:space="preserve">, which a deployed system must predict. The model gains +0.153 on a person’s own base rate but only </w:t>
      </w:r>
      <w:r>
        <w:rPr>
          <w:b/>
        </w:rPr>
        <w:t>+0.022</w:t>
      </w:r>
      <w:r>
        <w:t xml:space="preserve"> on “work in the morning” — within noise, so it must not claim to beat generic advice.</w:t>
      </w:r>
    </w:p>
    <w:p>
      <w:r>
        <w:rPr>
          <w:b/>
        </w:rPr>
        <w:t>The central finding.</w:t>
      </w:r>
      <w:r>
        <w:t xml:space="preserve"> The Recovery Score, validated per participant, reaches only ρ = 0.123, tying Fitbit’s own sleep score; biometrics add </w:t>
      </w:r>
      <w:r>
        <w:rPr>
          <w:b/>
        </w:rPr>
        <w:t>+0.002</w:t>
      </w:r>
      <w:r>
        <w:t xml:space="preserve"> AUC over time alone against location’s +0.043. Three independent analyses therefore agree: wearable signals are weak predictors of subjective cognitive state; time and location carry the model. The disclosure interface of §4.4 exists because of it.</w:t>
      </w:r>
    </w:p>
    <w:p>
      <w:pPr>
        <w:pStyle w:val="Heading2"/>
      </w:pPr>
      <w:r>
        <w:t>5.5 Limitations and threats to validity</w:t>
      </w:r>
    </w:p>
    <w:p>
      <w:pPr>
        <w:pStyle w:val="ListNumber"/>
        <w:spacing w:after="80"/>
      </w:pPr>
      <w:r>
        <w:rPr>
          <w:b/>
        </w:rPr>
        <w:t>Agreement, not causation.</w:t>
      </w:r>
      <w:r>
        <w:t xml:space="preserve"> The hours were lived and labelled before being ranked, so only a prospective trial could support a causal claim.</w:t>
      </w:r>
    </w:p>
    <w:p>
      <w:pPr>
        <w:pStyle w:val="ListNumber"/>
        <w:spacing w:after="80"/>
      </w:pPr>
      <w:r>
        <w:rPr>
          <w:b/>
        </w:rPr>
        <w:t>Recall 0.536.</w:t>
      </w:r>
      <w:r>
        <w:t xml:space="preserve"> The model misses 91 of 196 focus-ready hours; a missed good hour is cheaper than a bad recommendation, so the threshold is defensible but stated.</w:t>
      </w:r>
    </w:p>
    <w:p>
      <w:pPr>
        <w:pStyle w:val="ListNumber"/>
        <w:spacing w:after="80"/>
      </w:pPr>
      <w:r>
        <w:rPr>
          <w:b/>
        </w:rPr>
        <w:t>A counter-intuitive coefficient.</w:t>
      </w:r>
      <w:r>
        <w:t xml:space="preserve"> Resting heart rate predicts readiness positively — likely confounded with time of day, and not interpreted causally.</w:t>
      </w:r>
    </w:p>
    <w:p>
      <w:pPr>
        <w:pStyle w:val="ListNumber"/>
        <w:spacing w:after="80"/>
      </w:pPr>
      <w:r>
        <w:rPr>
          <w:b/>
        </w:rPr>
        <w:t>Scope.</w:t>
      </w:r>
      <w:r>
        <w:t xml:space="preserve"> ROC-AUC 0.656 sits just above the conventional 0.60 floor; both cohorts are Fitbit-based and self-selected; and cross-cohort transfer and end-to-end UI behaviour are untested.</w:t>
      </w:r>
    </w:p>
    <w:p>
      <w:pPr>
        <w:pStyle w:val="Heading1"/>
      </w:pPr>
      <w:r>
        <w:t>6. Conclusion and Future Work</w:t>
      </w:r>
    </w:p>
    <w:p>
      <w:pPr>
        <w:pStyle w:val="Heading2"/>
      </w:pPr>
      <w:r>
        <w:t>6.1 Outcomes against objectives</w:t>
      </w:r>
    </w:p>
    <w:p>
      <w:r>
        <w:rPr>
          <w:b/>
        </w:rPr>
        <w:t>O1</w:t>
      </w:r>
      <w:r>
        <w:t xml:space="preserve"> was met: Table 1 establishes a gap in disclosure and published validity that no compared system closes. </w:t>
      </w:r>
      <w:r>
        <w:rPr>
          <w:b/>
        </w:rPr>
        <w:t>O2</w:t>
      </w:r>
      <w:r>
        <w:t xml:space="preserve"> was met: a seven-context domain-driven backend behind a versioned, stateless API, layered in proportion to each context’s complexity. </w:t>
      </w:r>
      <w:r>
        <w:rPr>
          <w:b/>
        </w:rPr>
        <w:t>O3</w:t>
      </w:r>
      <w:r>
        <w:t xml:space="preserve"> was met: 22 screens integrating on-device inference, a server-side language model, BLE and MQTT sensing from a custom ESP32 node, pose estimation and geolocation. </w:t>
      </w:r>
      <w:r>
        <w:rPr>
          <w:b/>
        </w:rPr>
        <w:t>O4</w:t>
      </w:r>
      <w:r>
        <w:t xml:space="preserve"> was met and returned a result contrary to expectation — the model beats every baseline, but the margin over trivial advice is small and the biometrics contribute almost none of it. </w:t>
      </w:r>
      <w:r>
        <w:rPr>
          <w:b/>
        </w:rPr>
        <w:t>O5</w:t>
      </w:r>
      <w:r>
        <w:t xml:space="preserve"> was partially met: functional, performance and security evidence is complete, while the usability study at five participants is formative.</w:t>
      </w:r>
    </w:p>
    <w:p>
      <w:r>
        <w:t>The most valuable outcome is O4’s negative result. A system built to demonstrate that wearables can schedule cognitive work instead produced measured evidence that, at consumer-wearable fidelity and this cohort size, they largely cannot — and was then designed to disclose that rather than conceal it behind a confident score.</w:t>
      </w:r>
    </w:p>
    <w:p>
      <w:pPr>
        <w:pStyle w:val="Heading2"/>
      </w:pPr>
      <w:r>
        <w:t>6.2 Future work</w:t>
      </w:r>
    </w:p>
    <w:p>
      <w:r>
        <w:rPr>
          <w:b/>
        </w:rPr>
        <w:t>Location prediction</w:t>
      </w:r>
      <w:r>
        <w:t xml:space="preserve"> is the highest-value next step, and is quantified rather than speculative: predicting location from calendar and geofence history would recover the 0.067 P@1 currently available only with observed context, roughly quadrupling the margin over trivial advice. A </w:t>
      </w:r>
      <w:r>
        <w:rPr>
          <w:b/>
        </w:rPr>
        <w:t>prospective within-subject trial</w:t>
      </w:r>
      <w:r>
        <w:t xml:space="preserve"> is the only design that converts agreement into a causal claim, and is precisely what §3.3 precluded.</w:t>
      </w:r>
    </w:p>
    <w:p>
      <w:r>
        <w:t xml:space="preserve">Three emerging technologies extend the architecture directly. </w:t>
      </w:r>
      <w:r>
        <w:rPr>
          <w:b/>
        </w:rPr>
        <w:t>Edge computing</w:t>
      </w:r>
      <w:r>
        <w:t xml:space="preserve"> is already partially exploited — inference and pose estimation run on device — and its natural extension is </w:t>
      </w:r>
      <w:r>
        <w:rPr>
          <w:b/>
        </w:rPr>
        <w:t>federated learning</w:t>
      </w:r>
      <w:r>
        <w:t xml:space="preserve">, aggregating per-user coefficient updates without any biometric leaving the handset, which the exported-pipeline design of §4.3 reduces to a vector of 25 numbers. </w:t>
      </w:r>
      <w:r>
        <w:rPr>
          <w:b/>
        </w:rPr>
        <w:t>Advanced AI models</w:t>
      </w:r>
      <w:r>
        <w:t xml:space="preserve"> offer a route past the linear ceiling, although §5.4 indicates the binding constraint is cohort size rather than model capacity. </w:t>
      </w:r>
      <w:r>
        <w:rPr>
          <w:b/>
        </w:rPr>
        <w:t>Extended reality</w:t>
      </w:r>
      <w:r>
        <w:t xml:space="preserve"> is the natural successor to the movement coach: the same landmarks that drive the joint-angle state machine could drive an overlay correcting form in the user’s field of view.</w:t>
      </w:r>
    </w:p>
    <w:p>
      <w:r>
        <w:br w:type="page"/>
      </w:r>
    </w:p>
    <w:p>
      <w:pPr>
        <w:pStyle w:val="Heading1"/>
      </w:pPr>
      <w:r>
        <w:t>References</w:t>
      </w:r>
    </w:p>
    <w:p>
      <w:r>
        <w:rPr>
          <w:b/>
          <w:highlight w:val="yellow"/>
        </w:rPr>
        <w:t>⟦ Harvard, alphabetical. Confirm every entry marked VERIFY against the source before submission — a fabricated reference is an academic-integrity finding, not a formatting error. Target 28–35 entries; the list below is the confirmed core and needs roughly fifteen more from REPORT-PLAN §5. ⟧</w:t>
      </w:r>
    </w:p>
    <w:p>
      <w:pPr>
        <w:spacing w:after="120"/>
        <w:ind w:left="567" w:hanging="567"/>
      </w:pPr>
      <w:r>
        <w:t xml:space="preserve">Abowd, G.D., Dey, A.K., Brown, P.J., Davies, N., Smith, M. and Steggles, P. (1999) ‘Towards a better understanding of context and context-awareness’, </w:t>
      </w:r>
      <w:r>
        <w:rPr>
          <w:i/>
        </w:rPr>
        <w:t>Handheld and Ubiquitous Computing</w:t>
      </w:r>
      <w:r>
        <w:t>. Berlin: Springer, pp. 304–307.</w:t>
      </w:r>
    </w:p>
    <w:p>
      <w:pPr>
        <w:spacing w:after="120"/>
        <w:ind w:left="567" w:hanging="567"/>
      </w:pPr>
      <w:r>
        <w:t xml:space="preserve">Bangor, A., Kortum, P. and Miller, J. (2009) ‘Determining what individual SUS scores mean: adding an adjective rating scale’, </w:t>
      </w:r>
      <w:r>
        <w:rPr>
          <w:i/>
        </w:rPr>
        <w:t>Journal of Usability Studies</w:t>
      </w:r>
      <w:r>
        <w:t xml:space="preserve">, 4(3), pp. 114–123. </w:t>
      </w:r>
      <w:r>
        <w:rPr>
          <w:b/>
          <w:highlight w:val="yellow"/>
        </w:rPr>
        <w:t>【VERIFY】</w:t>
      </w:r>
    </w:p>
    <w:p>
      <w:pPr>
        <w:spacing w:after="120"/>
        <w:ind w:left="567" w:hanging="567"/>
      </w:pPr>
      <w:r>
        <w:t xml:space="preserve">Borbély, A.A. (1982) ‘A two process model of sleep regulation’, </w:t>
      </w:r>
      <w:r>
        <w:rPr>
          <w:i/>
        </w:rPr>
        <w:t>Human Neurobiology</w:t>
      </w:r>
      <w:r>
        <w:t>, 1(3), pp. 195–204.</w:t>
      </w:r>
    </w:p>
    <w:p>
      <w:pPr>
        <w:spacing w:after="120"/>
        <w:ind w:left="567" w:hanging="567"/>
      </w:pPr>
      <w:r>
        <w:t xml:space="preserve">Brooke, J. (1996) ‘SUS: a “quick and dirty” usability scale’, in Jordan, P.W. et al. (eds.) </w:t>
      </w:r>
      <w:r>
        <w:rPr>
          <w:i/>
        </w:rPr>
        <w:t>Usability Evaluation in Industry</w:t>
      </w:r>
      <w:r>
        <w:t>. London: Taylor &amp; Francis, pp. 189–194.</w:t>
      </w:r>
    </w:p>
    <w:p>
      <w:pPr>
        <w:spacing w:after="120"/>
        <w:ind w:left="567" w:hanging="567"/>
      </w:pPr>
      <w:r>
        <w:t xml:space="preserve">Deci, E.L. and Ryan, R.M. (2000) ‘The “what” and “why” of goal pursuits: human needs and the self-determination of behavior’, </w:t>
      </w:r>
      <w:r>
        <w:rPr>
          <w:i/>
        </w:rPr>
        <w:t>Psychological Inquiry</w:t>
      </w:r>
      <w:r>
        <w:t>, 11(4), pp. 227–268.</w:t>
      </w:r>
    </w:p>
    <w:p>
      <w:pPr>
        <w:spacing w:after="120"/>
        <w:ind w:left="567" w:hanging="567"/>
      </w:pPr>
      <w:r>
        <w:t xml:space="preserve">Dey, A.K. (2001) ‘Understanding and using context’, </w:t>
      </w:r>
      <w:r>
        <w:rPr>
          <w:i/>
        </w:rPr>
        <w:t>Personal and Ubiquitous Computing</w:t>
      </w:r>
      <w:r>
        <w:t>, 5(1), pp. 4–7.</w:t>
      </w:r>
    </w:p>
    <w:p>
      <w:pPr>
        <w:spacing w:after="120"/>
        <w:ind w:left="567" w:hanging="567"/>
      </w:pPr>
      <w:r>
        <w:t xml:space="preserve">Evans, E. (2003) </w:t>
      </w:r>
      <w:r>
        <w:rPr>
          <w:i/>
        </w:rPr>
        <w:t>Domain-Driven Design: Tackling Complexity in the Heart of Software</w:t>
      </w:r>
      <w:r>
        <w:t>. Boston: Addison-Wesley.</w:t>
      </w:r>
    </w:p>
    <w:p>
      <w:pPr>
        <w:spacing w:after="120"/>
        <w:ind w:left="567" w:hanging="567"/>
      </w:pPr>
      <w:r>
        <w:t xml:space="preserve">Fowler, M. (2002) </w:t>
      </w:r>
      <w:r>
        <w:rPr>
          <w:i/>
        </w:rPr>
        <w:t>Patterns of Enterprise Application Architecture</w:t>
      </w:r>
      <w:r>
        <w:t>. Boston: Addison-Wesley.</w:t>
      </w:r>
    </w:p>
    <w:p>
      <w:pPr>
        <w:spacing w:after="120"/>
        <w:ind w:left="567" w:hanging="567"/>
      </w:pPr>
      <w:r>
        <w:t xml:space="preserve">Gamma, E., Helm, R., Johnson, R. and Vlissides, J. (1994) </w:t>
      </w:r>
      <w:r>
        <w:rPr>
          <w:i/>
        </w:rPr>
        <w:t>Design Patterns: Elements of Reusable Object-Oriented Software</w:t>
      </w:r>
      <w:r>
        <w:t>. Reading, MA: Addison-Wesley.</w:t>
      </w:r>
    </w:p>
    <w:p>
      <w:pPr>
        <w:spacing w:after="120"/>
        <w:ind w:left="567" w:hanging="567"/>
      </w:pPr>
      <w:r>
        <w:t xml:space="preserve">Haghayegh, S., Khoshnevis, S., Smolensky, M.H., Diller, K.R. and Castriotta, R.J. (2019) ‘Accuracy of wristband Fitbit models in assessing sleep: systematic review and meta-analysis’, </w:t>
      </w:r>
      <w:r>
        <w:rPr>
          <w:i/>
        </w:rPr>
        <w:t>Journal of Medical Internet Research</w:t>
      </w:r>
      <w:r>
        <w:t xml:space="preserve">, 21(11), e16273. </w:t>
      </w:r>
      <w:r>
        <w:rPr>
          <w:b/>
          <w:highlight w:val="yellow"/>
        </w:rPr>
        <w:t>【VERIFY】</w:t>
      </w:r>
    </w:p>
    <w:p>
      <w:pPr>
        <w:spacing w:after="120"/>
        <w:ind w:left="567" w:hanging="567"/>
      </w:pPr>
      <w:r>
        <w:t xml:space="preserve">Martin, R.C. (2017) </w:t>
      </w:r>
      <w:r>
        <w:rPr>
          <w:i/>
        </w:rPr>
        <w:t>Clean Architecture: A Craftsman’s Guide to Software Structure and Design</w:t>
      </w:r>
      <w:r>
        <w:t>. Boston: Prentice Hall.</w:t>
      </w:r>
    </w:p>
    <w:p>
      <w:pPr>
        <w:spacing w:after="120"/>
        <w:ind w:left="567" w:hanging="567"/>
      </w:pPr>
      <w:r>
        <w:t xml:space="preserve">Nielsen, J. (1994) ‘Enhancing the explanatory power of usability heuristics’, </w:t>
      </w:r>
      <w:r>
        <w:rPr>
          <w:i/>
        </w:rPr>
        <w:t>Proceedings of the SIGCHI Conference on Human Factors in Computing Systems</w:t>
      </w:r>
      <w:r>
        <w:t>. New York: ACM, pp. 152–158.</w:t>
      </w:r>
    </w:p>
    <w:p>
      <w:pPr>
        <w:spacing w:after="120"/>
        <w:ind w:left="567" w:hanging="567"/>
      </w:pPr>
      <w:r>
        <w:t xml:space="preserve">Nygard, M. (2011) </w:t>
      </w:r>
      <w:r>
        <w:rPr>
          <w:i/>
        </w:rPr>
        <w:t>Documenting architecture decisions</w:t>
      </w:r>
      <w:r>
        <w:t xml:space="preserve">. </w:t>
      </w:r>
      <w:r>
        <w:rPr>
          <w:b/>
          <w:highlight w:val="yellow"/>
        </w:rPr>
        <w:t>【VERIFY — non-peer-reviewed; check the module accepts it, and pair with a peer-reviewed source if not】</w:t>
      </w:r>
    </w:p>
    <w:p>
      <w:pPr>
        <w:spacing w:after="120"/>
        <w:ind w:left="567" w:hanging="567"/>
      </w:pPr>
      <w:r>
        <w:t xml:space="preserve">OWASP (2024) </w:t>
      </w:r>
      <w:r>
        <w:rPr>
          <w:i/>
        </w:rPr>
        <w:t>OWASP Mobile Top 10</w:t>
      </w:r>
      <w:r>
        <w:t xml:space="preserve">. </w:t>
      </w:r>
      <w:r>
        <w:rPr>
          <w:b/>
          <w:highlight w:val="yellow"/>
        </w:rPr>
        <w:t>【VERIFY year, URL and accessed date】</w:t>
      </w:r>
    </w:p>
    <w:p>
      <w:pPr>
        <w:spacing w:after="120"/>
        <w:ind w:left="567" w:hanging="567"/>
      </w:pPr>
      <w:r>
        <w:t xml:space="preserve">Roenneberg, T., Wirz-Justice, A. and Merrow, M. (2003) ‘Life between clocks: daily temporal patterns of human chronotypes’, </w:t>
      </w:r>
      <w:r>
        <w:rPr>
          <w:i/>
        </w:rPr>
        <w:t>Journal of Biological Rhythms</w:t>
      </w:r>
      <w:r>
        <w:t xml:space="preserve">, 18(1), pp. 80–90. </w:t>
      </w:r>
      <w:r>
        <w:rPr>
          <w:b/>
          <w:highlight w:val="yellow"/>
        </w:rPr>
        <w:t>【VERIFY】</w:t>
      </w:r>
    </w:p>
    <w:p>
      <w:pPr>
        <w:spacing w:after="120"/>
        <w:ind w:left="567" w:hanging="567"/>
      </w:pPr>
      <w:r>
        <w:t xml:space="preserve">Russell, J.A. (1980) ‘A circumplex model of affect’, </w:t>
      </w:r>
      <w:r>
        <w:rPr>
          <w:i/>
        </w:rPr>
        <w:t>Journal of Personality and Social Psychology</w:t>
      </w:r>
      <w:r>
        <w:t>, 39(6), pp. 1161–1178.</w:t>
      </w:r>
    </w:p>
    <w:p>
      <w:pPr>
        <w:spacing w:after="120"/>
        <w:ind w:left="567" w:hanging="567"/>
      </w:pPr>
      <w:r>
        <w:t xml:space="preserve">Thambawita, V., Hicks, S.A., Borgli, H. et al. (2020) ‘PMData: a sports logging dataset’, </w:t>
      </w:r>
      <w:r>
        <w:rPr>
          <w:i/>
        </w:rPr>
        <w:t>Proceedings of the 11th ACM Multimedia Systems Conference</w:t>
      </w:r>
      <w:r>
        <w:t>. New York: ACM, pp. 231–236.</w:t>
      </w:r>
    </w:p>
    <w:p>
      <w:pPr>
        <w:spacing w:after="120"/>
        <w:ind w:left="567" w:hanging="567"/>
      </w:pPr>
      <w:r>
        <w:t xml:space="preserve">Yfantidou, S., Karagianni, C., Efstathiou, S. et al. (2022) ‘LifeSnaps: a 4-month multi-modal dataset capturing unobtrusive snapshots of our lives in the wild’, </w:t>
      </w:r>
      <w:r>
        <w:rPr>
          <w:i/>
        </w:rPr>
        <w:t>Scientific Data</w:t>
      </w:r>
      <w:r>
        <w:t>, 9, 663.</w:t>
      </w:r>
    </w:p>
    <w:p>
      <w:r>
        <w:br w:type="page"/>
      </w:r>
    </w:p>
    <w:p>
      <w:pPr>
        <w:pStyle w:val="Heading1"/>
      </w:pPr>
      <w:r>
        <w:t>Appendices</w:t>
      </w:r>
    </w:p>
    <w:p>
      <w:r>
        <w:t>Appendices are excluded from the word count — and from the grade. Nothing that earns a mark belongs here; only the raw evidence that body-text claims point to.</w:t>
      </w:r>
    </w:p>
    <w:tbl>
      <w:tblPr>
        <w:tblStyle w:val="TableGrid"/>
        <w:tblW w:type="auto" w:w="0"/>
        <w:jc w:val="center"/>
        <w:tblLook w:firstColumn="1" w:firstRow="1" w:lastColumn="0" w:lastRow="0" w:noHBand="0" w:noVBand="1" w:val="04A0"/>
      </w:tblPr>
      <w:tblGrid>
        <w:gridCol w:w="3009"/>
        <w:gridCol w:w="3009"/>
        <w:gridCol w:w="3009"/>
      </w:tblGrid>
      <w:tr>
        <w:tc>
          <w:tcPr>
            <w:tcW w:type="dxa" w:w="680"/>
            <w:shd w:fill="D9E2F3"/>
          </w:tcPr>
          <w:p>
            <w:pPr>
              <w:spacing w:after="40"/>
            </w:pPr>
            <w:r>
              <w:rPr>
                <w:b/>
                <w:sz w:val="19"/>
              </w:rPr>
            </w:r>
          </w:p>
        </w:tc>
        <w:tc>
          <w:tcPr>
            <w:tcW w:type="dxa" w:w="5839"/>
            <w:shd w:fill="D9E2F3"/>
          </w:tcPr>
          <w:p>
            <w:pPr>
              <w:spacing w:after="40"/>
            </w:pPr>
            <w:r>
              <w:rPr>
                <w:b/>
                <w:sz w:val="19"/>
              </w:rPr>
            </w:r>
            <w:r>
              <w:rPr>
                <w:b/>
                <w:sz w:val="19"/>
              </w:rPr>
              <w:t>Appendix</w:t>
            </w:r>
          </w:p>
        </w:tc>
        <w:tc>
          <w:tcPr>
            <w:tcW w:type="dxa" w:w="1701"/>
            <w:shd w:fill="D9E2F3"/>
          </w:tcPr>
          <w:p>
            <w:pPr>
              <w:spacing w:after="40"/>
            </w:pPr>
            <w:r>
              <w:rPr>
                <w:b/>
                <w:sz w:val="19"/>
              </w:rPr>
            </w:r>
            <w:r>
              <w:rPr>
                <w:b/>
                <w:sz w:val="19"/>
              </w:rPr>
              <w:t>Status</w:t>
            </w:r>
          </w:p>
        </w:tc>
      </w:tr>
      <w:tr>
        <w:tc>
          <w:tcPr>
            <w:tcW w:type="dxa" w:w="680"/>
          </w:tcPr>
          <w:p>
            <w:pPr>
              <w:spacing w:after="40"/>
            </w:pPr>
            <w:r>
              <w:rPr>
                <w:sz w:val="19"/>
              </w:rPr>
            </w:r>
            <w:r>
              <w:rPr>
                <w:sz w:val="19"/>
              </w:rPr>
              <w:t>A</w:t>
            </w:r>
          </w:p>
        </w:tc>
        <w:tc>
          <w:tcPr>
            <w:tcW w:type="dxa" w:w="5839"/>
          </w:tcPr>
          <w:p>
            <w:pPr>
              <w:spacing w:after="40"/>
            </w:pPr>
            <w:r>
              <w:rPr>
                <w:sz w:val="19"/>
              </w:rPr>
            </w:r>
            <w:r>
              <w:rPr>
                <w:sz w:val="19"/>
              </w:rPr>
              <w:t>Reproducibility — commands, seeds, provenance manifest</w:t>
            </w:r>
          </w:p>
        </w:tc>
        <w:tc>
          <w:tcPr>
            <w:tcW w:type="dxa" w:w="1701"/>
          </w:tcPr>
          <w:p>
            <w:pPr>
              <w:spacing w:after="40"/>
            </w:pPr>
            <w:r>
              <w:rPr>
                <w:sz w:val="19"/>
              </w:rPr>
            </w:r>
            <w:r>
              <w:rPr>
                <w:sz w:val="19"/>
              </w:rPr>
              <w:t>Ready</w:t>
            </w:r>
          </w:p>
        </w:tc>
      </w:tr>
      <w:tr>
        <w:tc>
          <w:tcPr>
            <w:tcW w:type="dxa" w:w="680"/>
          </w:tcPr>
          <w:p>
            <w:pPr>
              <w:spacing w:after="40"/>
            </w:pPr>
            <w:r>
              <w:rPr>
                <w:sz w:val="19"/>
              </w:rPr>
            </w:r>
            <w:r>
              <w:rPr>
                <w:sz w:val="19"/>
              </w:rPr>
              <w:t>B</w:t>
            </w:r>
          </w:p>
        </w:tc>
        <w:tc>
          <w:tcPr>
            <w:tcW w:type="dxa" w:w="5839"/>
          </w:tcPr>
          <w:p>
            <w:pPr>
              <w:spacing w:after="40"/>
            </w:pPr>
            <w:r>
              <w:rPr>
                <w:sz w:val="19"/>
              </w:rPr>
            </w:r>
            <w:r>
              <w:rPr>
                <w:sz w:val="19"/>
              </w:rPr>
              <w:t>Simulator generative rules and calibration record</w:t>
            </w:r>
          </w:p>
        </w:tc>
        <w:tc>
          <w:tcPr>
            <w:tcW w:type="dxa" w:w="1701"/>
          </w:tcPr>
          <w:p>
            <w:pPr>
              <w:spacing w:after="40"/>
            </w:pPr>
            <w:r>
              <w:rPr>
                <w:sz w:val="19"/>
              </w:rPr>
            </w:r>
            <w:r>
              <w:rPr>
                <w:sz w:val="19"/>
              </w:rPr>
              <w:t>Ready</w:t>
            </w:r>
          </w:p>
        </w:tc>
      </w:tr>
      <w:tr>
        <w:tc>
          <w:tcPr>
            <w:tcW w:type="dxa" w:w="680"/>
          </w:tcPr>
          <w:p>
            <w:pPr>
              <w:spacing w:after="40"/>
            </w:pPr>
            <w:r>
              <w:rPr>
                <w:sz w:val="19"/>
              </w:rPr>
            </w:r>
            <w:r>
              <w:rPr>
                <w:sz w:val="19"/>
              </w:rPr>
              <w:t>C</w:t>
            </w:r>
          </w:p>
        </w:tc>
        <w:tc>
          <w:tcPr>
            <w:tcW w:type="dxa" w:w="5839"/>
          </w:tcPr>
          <w:p>
            <w:pPr>
              <w:spacing w:after="40"/>
            </w:pPr>
            <w:r>
              <w:rPr>
                <w:sz w:val="19"/>
              </w:rPr>
            </w:r>
            <w:r>
              <w:rPr>
                <w:sz w:val="19"/>
              </w:rPr>
              <w:t>Raw test evidence, BLE service listing, OWASP mapping</w:t>
            </w:r>
          </w:p>
        </w:tc>
        <w:tc>
          <w:tcPr>
            <w:tcW w:type="dxa" w:w="1701"/>
          </w:tcPr>
          <w:p>
            <w:pPr>
              <w:spacing w:after="40"/>
            </w:pPr>
            <w:r>
              <w:rPr>
                <w:sz w:val="19"/>
              </w:rPr>
            </w:r>
            <w:r>
              <w:rPr>
                <w:b/>
                <w:sz w:val="19"/>
                <w:highlight w:val="yellow"/>
              </w:rPr>
              <w:t>【TBC】</w:t>
            </w:r>
          </w:p>
        </w:tc>
      </w:tr>
      <w:tr>
        <w:tc>
          <w:tcPr>
            <w:tcW w:type="dxa" w:w="680"/>
          </w:tcPr>
          <w:p>
            <w:pPr>
              <w:spacing w:after="40"/>
            </w:pPr>
            <w:r>
              <w:rPr>
                <w:sz w:val="19"/>
              </w:rPr>
            </w:r>
            <w:r>
              <w:rPr>
                <w:sz w:val="19"/>
              </w:rPr>
              <w:t>D</w:t>
            </w:r>
          </w:p>
        </w:tc>
        <w:tc>
          <w:tcPr>
            <w:tcW w:type="dxa" w:w="5839"/>
          </w:tcPr>
          <w:p>
            <w:pPr>
              <w:spacing w:after="40"/>
            </w:pPr>
            <w:r>
              <w:rPr>
                <w:sz w:val="19"/>
              </w:rPr>
            </w:r>
            <w:r>
              <w:rPr>
                <w:sz w:val="19"/>
              </w:rPr>
              <w:t>Usability instrument, consent form, raw SUS responses</w:t>
            </w:r>
          </w:p>
        </w:tc>
        <w:tc>
          <w:tcPr>
            <w:tcW w:type="dxa" w:w="1701"/>
          </w:tcPr>
          <w:p>
            <w:pPr>
              <w:spacing w:after="40"/>
            </w:pPr>
            <w:r>
              <w:rPr>
                <w:sz w:val="19"/>
              </w:rPr>
            </w:r>
            <w:r>
              <w:rPr>
                <w:b/>
                <w:sz w:val="19"/>
                <w:highlight w:val="yellow"/>
              </w:rPr>
              <w:t>【TBC】</w:t>
            </w:r>
          </w:p>
        </w:tc>
      </w:tr>
      <w:tr>
        <w:tc>
          <w:tcPr>
            <w:tcW w:type="dxa" w:w="680"/>
          </w:tcPr>
          <w:p>
            <w:pPr>
              <w:spacing w:after="40"/>
            </w:pPr>
            <w:r>
              <w:rPr>
                <w:sz w:val="19"/>
              </w:rPr>
            </w:r>
            <w:r>
              <w:rPr>
                <w:sz w:val="19"/>
              </w:rPr>
              <w:t>E</w:t>
            </w:r>
          </w:p>
        </w:tc>
        <w:tc>
          <w:tcPr>
            <w:tcW w:type="dxa" w:w="5839"/>
          </w:tcPr>
          <w:p>
            <w:pPr>
              <w:spacing w:after="40"/>
            </w:pPr>
            <w:r>
              <w:rPr>
                <w:sz w:val="19"/>
              </w:rPr>
            </w:r>
            <w:r>
              <w:rPr>
                <w:sz w:val="19"/>
              </w:rPr>
              <w:t>Use-case specifications, FR/NFR list, traceability matrix</w:t>
            </w:r>
          </w:p>
        </w:tc>
        <w:tc>
          <w:tcPr>
            <w:tcW w:type="dxa" w:w="1701"/>
          </w:tcPr>
          <w:p>
            <w:pPr>
              <w:spacing w:after="40"/>
            </w:pPr>
            <w:r>
              <w:rPr>
                <w:sz w:val="19"/>
              </w:rPr>
            </w:r>
            <w:r>
              <w:rPr>
                <w:b/>
                <w:sz w:val="19"/>
                <w:highlight w:val="yellow"/>
              </w:rPr>
              <w:t>【TBC】</w:t>
            </w:r>
          </w:p>
        </w:tc>
      </w:tr>
      <w:tr>
        <w:tc>
          <w:tcPr>
            <w:tcW w:type="dxa" w:w="680"/>
          </w:tcPr>
          <w:p>
            <w:pPr>
              <w:spacing w:after="40"/>
            </w:pPr>
            <w:r>
              <w:rPr>
                <w:sz w:val="19"/>
              </w:rPr>
            </w:r>
            <w:r>
              <w:rPr>
                <w:sz w:val="19"/>
              </w:rPr>
              <w:t>F</w:t>
            </w:r>
          </w:p>
        </w:tc>
        <w:tc>
          <w:tcPr>
            <w:tcW w:type="dxa" w:w="5839"/>
          </w:tcPr>
          <w:p>
            <w:pPr>
              <w:spacing w:after="40"/>
            </w:pPr>
            <w:r>
              <w:rPr>
                <w:sz w:val="19"/>
              </w:rPr>
            </w:r>
            <w:r>
              <w:rPr>
                <w:sz w:val="19"/>
              </w:rPr>
              <w:t>Architecture Decision Record index (ADR-0001 … ADR-0008)</w:t>
            </w:r>
          </w:p>
        </w:tc>
        <w:tc>
          <w:tcPr>
            <w:tcW w:type="dxa" w:w="1701"/>
          </w:tcPr>
          <w:p>
            <w:pPr>
              <w:spacing w:after="40"/>
            </w:pPr>
            <w:r>
              <w:rPr>
                <w:sz w:val="19"/>
              </w:rPr>
            </w:r>
            <w:r>
              <w:rPr>
                <w:sz w:val="19"/>
              </w:rPr>
              <w:t>Ready</w:t>
            </w:r>
          </w:p>
        </w:tc>
      </w:tr>
      <w:tr>
        <w:tc>
          <w:tcPr>
            <w:tcW w:type="dxa" w:w="680"/>
          </w:tcPr>
          <w:p>
            <w:pPr>
              <w:spacing w:after="40"/>
            </w:pPr>
            <w:r>
              <w:rPr>
                <w:sz w:val="19"/>
              </w:rPr>
            </w:r>
            <w:r>
              <w:rPr>
                <w:sz w:val="19"/>
              </w:rPr>
              <w:t>G</w:t>
            </w:r>
          </w:p>
        </w:tc>
        <w:tc>
          <w:tcPr>
            <w:tcW w:type="dxa" w:w="5839"/>
          </w:tcPr>
          <w:p>
            <w:pPr>
              <w:spacing w:after="40"/>
            </w:pPr>
            <w:r>
              <w:rPr>
                <w:sz w:val="19"/>
              </w:rPr>
            </w:r>
            <w:r>
              <w:rPr>
                <w:b/>
                <w:sz w:val="19"/>
              </w:rPr>
              <w:t>Declaration of AI use</w:t>
            </w:r>
            <w:r>
              <w:rPr>
                <w:sz w:val="19"/>
              </w:rPr>
              <w:t xml:space="preserve"> — required; this draft must be declared</w:t>
            </w:r>
          </w:p>
        </w:tc>
        <w:tc>
          <w:tcPr>
            <w:tcW w:type="dxa" w:w="1701"/>
          </w:tcPr>
          <w:p>
            <w:pPr>
              <w:spacing w:after="40"/>
            </w:pPr>
            <w:r>
              <w:rPr>
                <w:sz w:val="19"/>
              </w:rPr>
            </w:r>
            <w:r>
              <w:rPr>
                <w:b/>
                <w:sz w:val="19"/>
                <w:highlight w:val="yellow"/>
              </w:rPr>
              <w:t>【TBC】</w:t>
            </w:r>
          </w:p>
        </w:tc>
      </w:tr>
    </w:tbl>
    <w:p>
      <w:pPr>
        <w:spacing w:after="80"/>
      </w:pPr>
    </w:p>
    <w:p>
      <w:r>
        <w:rPr>
          <w:b/>
        </w:rPr>
        <w:t>Appendix C — test evidence.</w:t>
      </w:r>
      <w:r>
        <w:t xml:space="preserve"> Captured verbatim from the runs; the summary lines are each suite’s own output rather than retyped text.</w:t>
      </w:r>
    </w:p>
    <w:p>
      <w:pPr>
        <w:pStyle w:val="CaptionText"/>
      </w:pPr>
      <w:r>
        <w:t>Figure C.1 — Console output of the three suites: 461 + 372 + 92 = 925 tests passing, with the model-sync build gate confirming the bundled coefficients match the artifact</w:t>
      </w:r>
    </w:p>
    <w:p>
      <w:pPr>
        <w:spacing w:after="200"/>
        <w:jc w:val="center"/>
      </w:pPr>
      <w:r>
        <w:drawing>
          <wp:inline xmlns:a="http://schemas.openxmlformats.org/drawingml/2006/main" xmlns:pic="http://schemas.openxmlformats.org/drawingml/2006/picture">
            <wp:extent cx="5688000" cy="3974016"/>
            <wp:docPr id="2" name="Picture 2"/>
            <wp:cNvGraphicFramePr>
              <a:graphicFrameLocks noChangeAspect="1"/>
            </wp:cNvGraphicFramePr>
            <a:graphic>
              <a:graphicData uri="http://schemas.openxmlformats.org/drawingml/2006/picture">
                <pic:pic>
                  <pic:nvPicPr>
                    <pic:cNvPr id="0" name="fig-test-evidence.png"/>
                    <pic:cNvPicPr/>
                  </pic:nvPicPr>
                  <pic:blipFill>
                    <a:blip r:embed="rId11"/>
                    <a:stretch>
                      <a:fillRect/>
                    </a:stretch>
                  </pic:blipFill>
                  <pic:spPr>
                    <a:xfrm>
                      <a:off x="0" y="0"/>
                      <a:ext cx="5688000" cy="3974016"/>
                    </a:xfrm>
                    <a:prstGeom prst="rect"/>
                  </pic:spPr>
                </pic:pic>
              </a:graphicData>
            </a:graphic>
          </wp:inline>
        </w:drawing>
      </w:r>
    </w:p>
    <w:sectPr w:rsidR="00FC693F" w:rsidRPr="0006063C" w:rsidSect="00034616">
      <w:footerReference w:type="default" r:id="rId9"/>
      <w:pgSz w:w="11906" w:h="16838"/>
      <w:pgMar w:top="1440" w:right="1440" w:bottom="1440" w:left="144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xt">
    <w:name w:val="Caption Text"/>
    <w:pPr>
      <w:keepNext/>
      <w:spacing w:before="120" w:after="80"/>
    </w:pPr>
    <w:rPr>
      <w:rFonts w:ascii="Calibri" w:hAnsi="Calibri"/>
      <w:b/>
      <w:color w:val="404040"/>
      <w:sz w:val="19"/>
    </w:rPr>
  </w:style>
  <w:style w:type="paragraph" w:customStyle="1" w:styleId="Formula">
    <w:name w:val="Formula"/>
    <w:pPr>
      <w:spacing w:before="80" w:after="160"/>
      <w:ind w:left="567"/>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