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828A" w14:textId="77777777" w:rsidR="00AC0D51" w:rsidRDefault="00874092">
      <w:pPr>
        <w:pStyle w:val="Heading1"/>
      </w:pPr>
      <w:r>
        <w:t>5. Evaluation</w:t>
      </w:r>
    </w:p>
    <w:p w14:paraId="0B60D395" w14:textId="77777777" w:rsidR="00AC0D51" w:rsidRDefault="00874092">
      <w:pPr>
        <w:pStyle w:val="Heading2"/>
      </w:pPr>
      <w:r>
        <w:t>5.1 Functional testing</w:t>
      </w:r>
    </w:p>
    <w:p w14:paraId="1CA1C0E4" w14:textId="77777777" w:rsidR="00AC0D51" w:rsidRDefault="00874092">
      <w:pPr>
        <w:pStyle w:val="CaptionText"/>
      </w:pPr>
      <w:r>
        <w:t>Table 4 — Automated test suites and what each guards against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907"/>
        <w:gridCol w:w="4706"/>
      </w:tblGrid>
      <w:tr w:rsidR="00AC0D51" w14:paraId="07C17E48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0471A26E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Suite</w:t>
            </w:r>
          </w:p>
        </w:tc>
        <w:tc>
          <w:tcPr>
            <w:tcW w:w="907" w:type="dxa"/>
            <w:shd w:val="clear" w:color="auto" w:fill="D9E2F3"/>
          </w:tcPr>
          <w:p w14:paraId="167100E6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w="4706" w:type="dxa"/>
            <w:shd w:val="clear" w:color="auto" w:fill="D9E2F3"/>
          </w:tcPr>
          <w:p w14:paraId="083C2E1B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Guards against</w:t>
            </w:r>
          </w:p>
        </w:tc>
      </w:tr>
      <w:tr w:rsidR="00AC0D51" w14:paraId="0C7A6294" w14:textId="77777777">
        <w:trPr>
          <w:jc w:val="center"/>
        </w:trPr>
        <w:tc>
          <w:tcPr>
            <w:tcW w:w="2608" w:type="dxa"/>
          </w:tcPr>
          <w:p w14:paraId="251633AD" w14:textId="77777777" w:rsidR="00AC0D51" w:rsidRDefault="00874092">
            <w:pPr>
              <w:spacing w:after="40"/>
            </w:pPr>
            <w:r>
              <w:rPr>
                <w:sz w:val="19"/>
              </w:rPr>
              <w:t>API — Laravel</w:t>
            </w:r>
          </w:p>
        </w:tc>
        <w:tc>
          <w:tcPr>
            <w:tcW w:w="907" w:type="dxa"/>
          </w:tcPr>
          <w:p w14:paraId="5FC92B11" w14:textId="77777777" w:rsidR="00AC0D51" w:rsidRDefault="00874092">
            <w:pPr>
              <w:spacing w:after="40"/>
            </w:pPr>
            <w:r>
              <w:rPr>
                <w:sz w:val="19"/>
              </w:rPr>
              <w:t>460</w:t>
            </w:r>
          </w:p>
        </w:tc>
        <w:tc>
          <w:tcPr>
            <w:tcW w:w="4706" w:type="dxa"/>
          </w:tcPr>
          <w:p w14:paraId="4386265C" w14:textId="77777777" w:rsidR="00AC0D51" w:rsidRDefault="00874092">
            <w:pPr>
              <w:spacing w:after="40"/>
            </w:pPr>
            <w:r>
              <w:rPr>
                <w:sz w:val="19"/>
              </w:rPr>
              <w:t>Contract, authorisation and invariant regressions</w:t>
            </w:r>
          </w:p>
        </w:tc>
      </w:tr>
      <w:tr w:rsidR="00AC0D51" w14:paraId="1297D714" w14:textId="77777777">
        <w:trPr>
          <w:jc w:val="center"/>
        </w:trPr>
        <w:tc>
          <w:tcPr>
            <w:tcW w:w="2608" w:type="dxa"/>
          </w:tcPr>
          <w:p w14:paraId="4E24825C" w14:textId="77777777" w:rsidR="00AC0D51" w:rsidRDefault="00874092">
            <w:pPr>
              <w:spacing w:after="40"/>
            </w:pPr>
            <w:r>
              <w:rPr>
                <w:sz w:val="19"/>
              </w:rPr>
              <w:t>Mobile — Jest</w:t>
            </w:r>
          </w:p>
        </w:tc>
        <w:tc>
          <w:tcPr>
            <w:tcW w:w="907" w:type="dxa"/>
          </w:tcPr>
          <w:p w14:paraId="69A9DEE8" w14:textId="77777777" w:rsidR="00AC0D51" w:rsidRDefault="00874092">
            <w:pPr>
              <w:spacing w:after="40"/>
            </w:pPr>
            <w:r>
              <w:rPr>
                <w:sz w:val="19"/>
              </w:rPr>
              <w:t>371</w:t>
            </w:r>
          </w:p>
        </w:tc>
        <w:tc>
          <w:tcPr>
            <w:tcW w:w="4706" w:type="dxa"/>
          </w:tcPr>
          <w:p w14:paraId="34D9622B" w14:textId="77777777" w:rsidR="00AC0D51" w:rsidRDefault="00874092">
            <w:pPr>
              <w:spacing w:after="40"/>
            </w:pPr>
            <w:r>
              <w:rPr>
                <w:sz w:val="19"/>
              </w:rPr>
              <w:t>Service and model-port regressions; state and cache errors</w:t>
            </w:r>
          </w:p>
        </w:tc>
      </w:tr>
      <w:tr w:rsidR="00AC0D51" w14:paraId="6CC7972F" w14:textId="77777777">
        <w:trPr>
          <w:jc w:val="center"/>
        </w:trPr>
        <w:tc>
          <w:tcPr>
            <w:tcW w:w="2608" w:type="dxa"/>
          </w:tcPr>
          <w:p w14:paraId="6622CA5E" w14:textId="77777777" w:rsidR="00AC0D51" w:rsidRDefault="00874092">
            <w:pPr>
              <w:spacing w:after="40"/>
            </w:pPr>
            <w:r>
              <w:rPr>
                <w:sz w:val="19"/>
              </w:rPr>
              <w:t>ML — provenance, split</w:t>
            </w:r>
          </w:p>
        </w:tc>
        <w:tc>
          <w:tcPr>
            <w:tcW w:w="907" w:type="dxa"/>
          </w:tcPr>
          <w:p w14:paraId="5FBA6983" w14:textId="77777777" w:rsidR="00AC0D51" w:rsidRDefault="00874092">
            <w:pPr>
              <w:spacing w:after="40"/>
            </w:pPr>
            <w:r>
              <w:rPr>
                <w:sz w:val="19"/>
              </w:rPr>
              <w:t>21</w:t>
            </w:r>
          </w:p>
        </w:tc>
        <w:tc>
          <w:tcPr>
            <w:tcW w:w="4706" w:type="dxa"/>
          </w:tcPr>
          <w:p w14:paraId="0D6EBFFA" w14:textId="77777777" w:rsidR="00AC0D51" w:rsidRDefault="00874092">
            <w:pPr>
              <w:spacing w:after="40"/>
            </w:pPr>
            <w:r>
              <w:rPr>
                <w:sz w:val="19"/>
              </w:rPr>
              <w:t>Simulated rows in training; participant and temporal leakage</w:t>
            </w:r>
          </w:p>
        </w:tc>
      </w:tr>
      <w:tr w:rsidR="00AC0D51" w14:paraId="70141E3B" w14:textId="77777777">
        <w:trPr>
          <w:jc w:val="center"/>
        </w:trPr>
        <w:tc>
          <w:tcPr>
            <w:tcW w:w="2608" w:type="dxa"/>
          </w:tcPr>
          <w:p w14:paraId="3FFFDD36" w14:textId="77777777" w:rsidR="00AC0D51" w:rsidRDefault="00874092">
            <w:pPr>
              <w:spacing w:after="40"/>
            </w:pPr>
            <w:r>
              <w:rPr>
                <w:sz w:val="19"/>
              </w:rPr>
              <w:t>ML — label, baseline, feature</w:t>
            </w:r>
          </w:p>
        </w:tc>
        <w:tc>
          <w:tcPr>
            <w:tcW w:w="907" w:type="dxa"/>
          </w:tcPr>
          <w:p w14:paraId="55D63343" w14:textId="77777777" w:rsidR="00AC0D51" w:rsidRDefault="00874092">
            <w:pPr>
              <w:spacing w:after="40"/>
            </w:pPr>
            <w:r>
              <w:rPr>
                <w:sz w:val="19"/>
              </w:rPr>
              <w:t>71</w:t>
            </w:r>
          </w:p>
        </w:tc>
        <w:tc>
          <w:tcPr>
            <w:tcW w:w="4706" w:type="dxa"/>
          </w:tcPr>
          <w:p w14:paraId="15797898" w14:textId="77777777" w:rsidR="00AC0D51" w:rsidRDefault="00874092">
            <w:pPr>
              <w:spacing w:after="40"/>
            </w:pPr>
            <w:r>
              <w:rPr>
                <w:sz w:val="19"/>
              </w:rPr>
              <w:t>Baseline-free reporting; target drift; feature errors</w:t>
            </w:r>
          </w:p>
        </w:tc>
      </w:tr>
      <w:tr w:rsidR="00AC0D51" w14:paraId="103EBED9" w14:textId="77777777">
        <w:trPr>
          <w:jc w:val="center"/>
        </w:trPr>
        <w:tc>
          <w:tcPr>
            <w:tcW w:w="2608" w:type="dxa"/>
          </w:tcPr>
          <w:p w14:paraId="4ED8B46B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907" w:type="dxa"/>
          </w:tcPr>
          <w:p w14:paraId="6A8E57CB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923</w:t>
            </w:r>
          </w:p>
        </w:tc>
        <w:tc>
          <w:tcPr>
            <w:tcW w:w="4706" w:type="dxa"/>
          </w:tcPr>
          <w:p w14:paraId="71CAE84D" w14:textId="77777777" w:rsidR="00AC0D51" w:rsidRDefault="00AC0D51">
            <w:pPr>
              <w:spacing w:after="40"/>
            </w:pPr>
          </w:p>
        </w:tc>
      </w:tr>
    </w:tbl>
    <w:p w14:paraId="522C3B76" w14:textId="77777777" w:rsidR="00AC0D51" w:rsidRDefault="00AC0D51">
      <w:pPr>
        <w:spacing w:after="80"/>
      </w:pPr>
    </w:p>
    <w:p w14:paraId="05F1F34A" w14:textId="77777777" w:rsidR="00AC0D51" w:rsidRDefault="00874092">
      <w:r>
        <w:t xml:space="preserve">All 923 pass in CI on every push (Appendix C). Golden-vector tests pin the TypeScript port to figures computed in Python, and </w:t>
      </w:r>
      <w:r>
        <w:rPr>
          <w:rFonts w:ascii="Consolas" w:hAnsi="Consolas"/>
          <w:sz w:val="20"/>
        </w:rPr>
        <w:t>check:model</w:t>
      </w:r>
      <w:r>
        <w:t xml:space="preserve"> fails the build if the bundled coefficients drift. The suite is </w:t>
      </w:r>
      <w:r>
        <w:rPr>
          <w:b/>
        </w:rPr>
        <w:t>load-bearing</w:t>
      </w:r>
      <w:r>
        <w:t>: a test expecting a +10 bpm deviation returned 8.57, exposing a resting-heart-rate baseline that included the current day. Correcting it raised held-out recall from 0.449 to 0.536 and cut the largest coefficient from 0.839 to 0.376 — an artefact, not a finding.</w:t>
      </w:r>
    </w:p>
    <w:p w14:paraId="2E0F140F" w14:textId="77777777" w:rsidR="00AC0D51" w:rsidRDefault="00874092">
      <w:pPr>
        <w:pStyle w:val="Heading2"/>
      </w:pPr>
      <w:r>
        <w:t>5.2 Performance and security testing</w:t>
      </w:r>
    </w:p>
    <w:p w14:paraId="13814371" w14:textId="77777777" w:rsidR="00AC0D51" w:rsidRDefault="00874092">
      <w:pPr>
        <w:pStyle w:val="CaptionText"/>
      </w:pPr>
      <w:r>
        <w:t>Table 5 — Measured non-functional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984"/>
        <w:gridCol w:w="2268"/>
      </w:tblGrid>
      <w:tr w:rsidR="00AC0D51" w14:paraId="68F7FFCE" w14:textId="77777777">
        <w:trPr>
          <w:jc w:val="center"/>
        </w:trPr>
        <w:tc>
          <w:tcPr>
            <w:tcW w:w="3969" w:type="dxa"/>
            <w:shd w:val="clear" w:color="auto" w:fill="D9E2F3"/>
          </w:tcPr>
          <w:p w14:paraId="6104FE2C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1984" w:type="dxa"/>
            <w:shd w:val="clear" w:color="auto" w:fill="D9E2F3"/>
          </w:tcPr>
          <w:p w14:paraId="1797B9B3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Requirement</w:t>
            </w:r>
          </w:p>
        </w:tc>
        <w:tc>
          <w:tcPr>
            <w:tcW w:w="2268" w:type="dxa"/>
            <w:shd w:val="clear" w:color="auto" w:fill="D9E2F3"/>
          </w:tcPr>
          <w:p w14:paraId="32BBC818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Measured</w:t>
            </w:r>
          </w:p>
        </w:tc>
      </w:tr>
      <w:tr w:rsidR="00AC0D51" w14:paraId="68A52FB6" w14:textId="77777777">
        <w:trPr>
          <w:jc w:val="center"/>
        </w:trPr>
        <w:tc>
          <w:tcPr>
            <w:tcW w:w="3969" w:type="dxa"/>
          </w:tcPr>
          <w:p w14:paraId="0D1D7FCB" w14:textId="77777777" w:rsidR="00AC0D51" w:rsidRDefault="00874092">
            <w:pPr>
              <w:spacing w:after="40"/>
            </w:pPr>
            <w:r>
              <w:rPr>
                <w:sz w:val="19"/>
              </w:rPr>
              <w:t>On-device readiness inference</w:t>
            </w:r>
          </w:p>
        </w:tc>
        <w:tc>
          <w:tcPr>
            <w:tcW w:w="1984" w:type="dxa"/>
          </w:tcPr>
          <w:p w14:paraId="3FBC4F2F" w14:textId="77777777" w:rsidR="00AC0D51" w:rsidRDefault="00874092">
            <w:pPr>
              <w:spacing w:after="40"/>
            </w:pPr>
            <w:r>
              <w:rPr>
                <w:sz w:val="19"/>
              </w:rPr>
              <w:t>&lt; 50 ms</w:t>
            </w:r>
          </w:p>
        </w:tc>
        <w:tc>
          <w:tcPr>
            <w:tcW w:w="2268" w:type="dxa"/>
          </w:tcPr>
          <w:p w14:paraId="3636A002" w14:textId="77777777" w:rsidR="00AC0D51" w:rsidRDefault="00874092">
            <w:pPr>
              <w:spacing w:after="40"/>
            </w:pPr>
            <w:r>
              <w:rPr>
                <w:b/>
                <w:sz w:val="19"/>
                <w:highlight w:val="yellow"/>
              </w:rPr>
              <w:t>【</w:t>
            </w:r>
            <w:r>
              <w:rPr>
                <w:b/>
                <w:sz w:val="19"/>
                <w:highlight w:val="yellow"/>
              </w:rPr>
              <w:t>TBC</w:t>
            </w:r>
            <w:r>
              <w:rPr>
                <w:b/>
                <w:sz w:val="19"/>
                <w:highlight w:val="yellow"/>
              </w:rPr>
              <w:t>】</w:t>
            </w:r>
          </w:p>
        </w:tc>
      </w:tr>
      <w:tr w:rsidR="00AC0D51" w14:paraId="5BA6AA88" w14:textId="77777777">
        <w:trPr>
          <w:jc w:val="center"/>
        </w:trPr>
        <w:tc>
          <w:tcPr>
            <w:tcW w:w="3969" w:type="dxa"/>
          </w:tcPr>
          <w:p w14:paraId="242441CB" w14:textId="77777777" w:rsidR="00AC0D51" w:rsidRDefault="00874092">
            <w:pPr>
              <w:spacing w:after="40"/>
            </w:pPr>
            <w:r>
              <w:rPr>
                <w:sz w:val="19"/>
              </w:rPr>
              <w:t>API p95 latency, authenticated read</w:t>
            </w:r>
          </w:p>
        </w:tc>
        <w:tc>
          <w:tcPr>
            <w:tcW w:w="1984" w:type="dxa"/>
          </w:tcPr>
          <w:p w14:paraId="1DFCD912" w14:textId="77777777" w:rsidR="00AC0D51" w:rsidRDefault="00874092">
            <w:pPr>
              <w:spacing w:after="40"/>
            </w:pPr>
            <w:r>
              <w:rPr>
                <w:sz w:val="19"/>
              </w:rPr>
              <w:t>&lt; 300 ms</w:t>
            </w:r>
          </w:p>
        </w:tc>
        <w:tc>
          <w:tcPr>
            <w:tcW w:w="2268" w:type="dxa"/>
          </w:tcPr>
          <w:p w14:paraId="08205698" w14:textId="77777777" w:rsidR="00AC0D51" w:rsidRDefault="00874092">
            <w:pPr>
              <w:spacing w:after="40"/>
            </w:pPr>
            <w:r>
              <w:rPr>
                <w:b/>
                <w:sz w:val="19"/>
                <w:highlight w:val="yellow"/>
              </w:rPr>
              <w:t>【</w:t>
            </w:r>
            <w:r>
              <w:rPr>
                <w:b/>
                <w:sz w:val="19"/>
                <w:highlight w:val="yellow"/>
              </w:rPr>
              <w:t>TBC</w:t>
            </w:r>
            <w:r>
              <w:rPr>
                <w:b/>
                <w:sz w:val="19"/>
                <w:highlight w:val="yellow"/>
              </w:rPr>
              <w:t>】</w:t>
            </w:r>
          </w:p>
        </w:tc>
      </w:tr>
      <w:tr w:rsidR="00AC0D51" w14:paraId="4241B547" w14:textId="77777777">
        <w:trPr>
          <w:jc w:val="center"/>
        </w:trPr>
        <w:tc>
          <w:tcPr>
            <w:tcW w:w="3969" w:type="dxa"/>
          </w:tcPr>
          <w:p w14:paraId="23E90EC8" w14:textId="77777777" w:rsidR="00AC0D51" w:rsidRDefault="00874092">
            <w:pPr>
              <w:spacing w:after="40"/>
            </w:pPr>
            <w:r>
              <w:rPr>
                <w:sz w:val="19"/>
              </w:rPr>
              <w:t>Application cold start</w:t>
            </w:r>
          </w:p>
        </w:tc>
        <w:tc>
          <w:tcPr>
            <w:tcW w:w="1984" w:type="dxa"/>
          </w:tcPr>
          <w:p w14:paraId="3EE8CD4C" w14:textId="77777777" w:rsidR="00AC0D51" w:rsidRDefault="00874092">
            <w:pPr>
              <w:spacing w:after="40"/>
            </w:pPr>
            <w:r>
              <w:rPr>
                <w:sz w:val="19"/>
              </w:rPr>
              <w:t>&lt; 3 s</w:t>
            </w:r>
          </w:p>
        </w:tc>
        <w:tc>
          <w:tcPr>
            <w:tcW w:w="2268" w:type="dxa"/>
          </w:tcPr>
          <w:p w14:paraId="0418B0C2" w14:textId="77777777" w:rsidR="00AC0D51" w:rsidRDefault="00874092">
            <w:pPr>
              <w:spacing w:after="40"/>
            </w:pPr>
            <w:r>
              <w:rPr>
                <w:b/>
                <w:sz w:val="19"/>
                <w:highlight w:val="yellow"/>
              </w:rPr>
              <w:t>【</w:t>
            </w:r>
            <w:r>
              <w:rPr>
                <w:b/>
                <w:sz w:val="19"/>
                <w:highlight w:val="yellow"/>
              </w:rPr>
              <w:t>TBC</w:t>
            </w:r>
            <w:r>
              <w:rPr>
                <w:b/>
                <w:sz w:val="19"/>
                <w:highlight w:val="yellow"/>
              </w:rPr>
              <w:t>】</w:t>
            </w:r>
          </w:p>
        </w:tc>
      </w:tr>
      <w:tr w:rsidR="00AC0D51" w14:paraId="05077496" w14:textId="77777777">
        <w:trPr>
          <w:jc w:val="center"/>
        </w:trPr>
        <w:tc>
          <w:tcPr>
            <w:tcW w:w="3969" w:type="dxa"/>
          </w:tcPr>
          <w:p w14:paraId="6DD44479" w14:textId="77777777" w:rsidR="00AC0D51" w:rsidRDefault="00874092">
            <w:pPr>
              <w:spacing w:after="40"/>
            </w:pPr>
            <w:r>
              <w:rPr>
                <w:sz w:val="19"/>
              </w:rPr>
              <w:t>JavaScript bundle size</w:t>
            </w:r>
          </w:p>
        </w:tc>
        <w:tc>
          <w:tcPr>
            <w:tcW w:w="1984" w:type="dxa"/>
          </w:tcPr>
          <w:p w14:paraId="0353D471" w14:textId="77777777" w:rsidR="00AC0D51" w:rsidRDefault="00874092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2268" w:type="dxa"/>
          </w:tcPr>
          <w:p w14:paraId="4209978B" w14:textId="77777777" w:rsidR="00AC0D51" w:rsidRDefault="00874092">
            <w:pPr>
              <w:spacing w:after="40"/>
            </w:pPr>
            <w:r>
              <w:rPr>
                <w:b/>
                <w:sz w:val="19"/>
                <w:highlight w:val="yellow"/>
              </w:rPr>
              <w:t>【</w:t>
            </w:r>
            <w:r>
              <w:rPr>
                <w:b/>
                <w:sz w:val="19"/>
                <w:highlight w:val="yellow"/>
              </w:rPr>
              <w:t>TBC</w:t>
            </w:r>
            <w:r>
              <w:rPr>
                <w:b/>
                <w:sz w:val="19"/>
                <w:highlight w:val="yellow"/>
              </w:rPr>
              <w:t>】</w:t>
            </w:r>
          </w:p>
        </w:tc>
      </w:tr>
    </w:tbl>
    <w:p w14:paraId="0A1054BE" w14:textId="77777777" w:rsidR="00AC0D51" w:rsidRDefault="00AC0D51">
      <w:pPr>
        <w:spacing w:after="80"/>
      </w:pPr>
    </w:p>
    <w:p w14:paraId="2F8FC3FB" w14:textId="77777777" w:rsidR="00AC0D51" w:rsidRDefault="00874092">
      <w:r>
        <w:rPr>
          <w:b/>
          <w:highlight w:val="yellow"/>
        </w:rPr>
        <w:t>⟦</w:t>
      </w:r>
      <w:r>
        <w:rPr>
          <w:b/>
          <w:highlight w:val="yellow"/>
        </w:rPr>
        <w:t xml:space="preserve"> Fill Table 5 from REPORT-PLAN §6 P3; interpret in two sentences. </w:t>
      </w:r>
      <w:r>
        <w:rPr>
          <w:b/>
          <w:highlight w:val="yellow"/>
        </w:rPr>
        <w:t>⟧</w:t>
      </w:r>
    </w:p>
    <w:p w14:paraId="395E4E8C" w14:textId="77777777" w:rsidR="00AC0D51" w:rsidRDefault="00874092">
      <w:r>
        <w:t xml:space="preserve">Security was tested rather than asserted: </w:t>
      </w:r>
      <w:r>
        <w:rPr>
          <w:b/>
        </w:rPr>
        <w:t>19</w:t>
      </w:r>
      <w:r>
        <w:t xml:space="preserve"> tests assert cross-account isolation, </w:t>
      </w:r>
      <w:r>
        <w:rPr>
          <w:b/>
        </w:rPr>
        <w:t>17</w:t>
      </w:r>
      <w:r>
        <w:t xml:space="preserve"> that unauthenticated routes are refused, </w:t>
      </w:r>
      <w:r>
        <w:rPr>
          <w:b/>
        </w:rPr>
        <w:t>5</w:t>
      </w:r>
      <w:r>
        <w:t xml:space="preserve"> the login throttles; scanning all 46 commits for keys returned nothing. The design was reviewed against the OWASP Mobile Top 10 (OWASP, 2024)</w:t>
      </w:r>
      <w:r>
        <w:rPr>
          <w:b/>
          <w:highlight w:val="yellow"/>
        </w:rPr>
        <w:t>【</w:t>
      </w:r>
      <w:r>
        <w:rPr>
          <w:b/>
          <w:highlight w:val="yellow"/>
        </w:rPr>
        <w:t>VERIFY</w:t>
      </w:r>
      <w:r>
        <w:rPr>
          <w:b/>
          <w:highlight w:val="yellow"/>
        </w:rPr>
        <w:t>】</w:t>
      </w:r>
      <w:r>
        <w:t xml:space="preserve"> (Appendix C). Two residual risks are stated rather than hidden: a public MQTT broker (ADR-0003) and foreground-only location (ADR-0004).</w:t>
      </w:r>
    </w:p>
    <w:p w14:paraId="71F82CF2" w14:textId="77777777" w:rsidR="00AC0D51" w:rsidRDefault="00874092">
      <w:pPr>
        <w:pStyle w:val="Heading2"/>
      </w:pPr>
      <w:r>
        <w:t>5.3 Usability evaluation</w:t>
      </w:r>
    </w:p>
    <w:p w14:paraId="58E122D1" w14:textId="77777777" w:rsidR="00AC0D51" w:rsidRDefault="00874092">
      <w:r>
        <w:rPr>
          <w:b/>
          <w:highlight w:val="yellow"/>
        </w:rPr>
        <w:t>⟦</w:t>
      </w:r>
      <w:r>
        <w:rPr>
          <w:b/>
          <w:highlight w:val="yellow"/>
        </w:rPr>
        <w:t xml:space="preserve"> Complete after REPORT-PLAN §6 P2. </w:t>
      </w:r>
      <w:r>
        <w:rPr>
          <w:b/>
          <w:highlight w:val="yellow"/>
        </w:rPr>
        <w:t>⟧</w:t>
      </w:r>
      <w:r>
        <w:t xml:space="preserve"> The System Usability Scale (Brooke, 1996) was administered to </w:t>
      </w:r>
      <w:r>
        <w:rPr>
          <w:b/>
        </w:rPr>
        <w:t>n = 5</w:t>
      </w:r>
      <w:r>
        <w:t xml:space="preserve"> after four scripted tasks. Mean SUS was </w:t>
      </w:r>
      <w:r>
        <w:rPr>
          <w:b/>
          <w:highlight w:val="yellow"/>
        </w:rPr>
        <w:t>【</w:t>
      </w:r>
      <w:r>
        <w:rPr>
          <w:b/>
          <w:highlight w:val="yellow"/>
        </w:rPr>
        <w:t>TBC</w:t>
      </w:r>
      <w:r>
        <w:rPr>
          <w:b/>
          <w:highlight w:val="yellow"/>
        </w:rPr>
        <w:t>】</w:t>
      </w:r>
      <w:r>
        <w:t xml:space="preserve"> (SD </w:t>
      </w:r>
      <w:r>
        <w:rPr>
          <w:b/>
          <w:highlight w:val="yellow"/>
        </w:rPr>
        <w:t>【</w:t>
      </w:r>
      <w:r>
        <w:rPr>
          <w:b/>
          <w:highlight w:val="yellow"/>
        </w:rPr>
        <w:t>TBC</w:t>
      </w:r>
      <w:r>
        <w:rPr>
          <w:b/>
          <w:highlight w:val="yellow"/>
        </w:rPr>
        <w:t>】</w:t>
      </w:r>
      <w:r>
        <w:t xml:space="preserve">) against the acceptability anchor of 68 (Bangor </w:t>
      </w:r>
      <w:r>
        <w:rPr>
          <w:i/>
        </w:rPr>
        <w:t>et al.</w:t>
      </w:r>
      <w:r>
        <w:t>, 2009)</w:t>
      </w:r>
      <w:r>
        <w:rPr>
          <w:b/>
          <w:highlight w:val="yellow"/>
        </w:rPr>
        <w:t>【</w:t>
      </w:r>
      <w:r>
        <w:rPr>
          <w:b/>
          <w:highlight w:val="yellow"/>
        </w:rPr>
        <w:t>VERIFY</w:t>
      </w:r>
      <w:r>
        <w:rPr>
          <w:b/>
          <w:highlight w:val="yellow"/>
        </w:rPr>
        <w:t>】</w:t>
      </w:r>
      <w:r>
        <w:t xml:space="preserve">; a Nielsen (1994) walkthrough found </w:t>
      </w:r>
      <w:r>
        <w:rPr>
          <w:b/>
          <w:highlight w:val="yellow"/>
        </w:rPr>
        <w:t>【</w:t>
      </w:r>
      <w:r>
        <w:rPr>
          <w:b/>
          <w:highlight w:val="yellow"/>
        </w:rPr>
        <w:t>TBC</w:t>
      </w:r>
      <w:r>
        <w:rPr>
          <w:b/>
          <w:highlight w:val="yellow"/>
        </w:rPr>
        <w:t>】</w:t>
      </w:r>
      <w:r>
        <w:t xml:space="preserve"> issues, </w:t>
      </w:r>
      <w:r>
        <w:rPr>
          <w:b/>
          <w:highlight w:val="yellow"/>
        </w:rPr>
        <w:t>【</w:t>
      </w:r>
      <w:r>
        <w:rPr>
          <w:b/>
          <w:highlight w:val="yellow"/>
        </w:rPr>
        <w:t>TBC</w:t>
      </w:r>
      <w:r>
        <w:rPr>
          <w:b/>
          <w:highlight w:val="yellow"/>
        </w:rPr>
        <w:t>】</w:t>
      </w:r>
      <w:r>
        <w:t xml:space="preserve"> major. </w:t>
      </w:r>
      <w:r>
        <w:rPr>
          <w:b/>
          <w:highlight w:val="yellow"/>
        </w:rPr>
        <w:t>⟦</w:t>
      </w:r>
      <w:r>
        <w:rPr>
          <w:b/>
          <w:highlight w:val="yellow"/>
        </w:rPr>
        <w:t xml:space="preserve"> Name the two most severe. </w:t>
      </w:r>
      <w:r>
        <w:rPr>
          <w:b/>
          <w:highlight w:val="yellow"/>
        </w:rPr>
        <w:t>⟧</w:t>
      </w:r>
      <w:r>
        <w:t xml:space="preserve"> Five </w:t>
      </w:r>
      <w:r>
        <w:lastRenderedPageBreak/>
        <w:t>participants detect severe problems but estimate the mean coarsely, so this is formative evidence.</w:t>
      </w:r>
    </w:p>
    <w:p w14:paraId="5001A323" w14:textId="77777777" w:rsidR="00AC0D51" w:rsidRDefault="00874092">
      <w:pPr>
        <w:pStyle w:val="Heading2"/>
      </w:pPr>
      <w:r>
        <w:t>5.4 Model performance and effectiveness</w:t>
      </w:r>
    </w:p>
    <w:p w14:paraId="69DC4F2D" w14:textId="77777777" w:rsidR="00AC0D51" w:rsidRDefault="00874092">
      <w:r>
        <w:rPr>
          <w:b/>
        </w:rPr>
        <w:t>Target selection.</w:t>
      </w:r>
      <w:r>
        <w:t xml:space="preserve"> The focus self-report is seven mutually exclusive categories covering 3.15% of hourly rows, so the task is classification, not regression. Of four binary targets the </w:t>
      </w:r>
      <w:r>
        <w:rPr>
          <w:b/>
        </w:rPr>
        <w:t>activation</w:t>
      </w:r>
      <w:r>
        <w:t xml:space="preserve"> axis scored ROC-AUC 0.654 and </w:t>
      </w:r>
      <w:r>
        <w:rPr>
          <w:b/>
        </w:rPr>
        <w:t>valence</w:t>
      </w:r>
      <w:r>
        <w:t xml:space="preserve"> 0.568 — as Russell’s (1980) circumplex predicts (§2.3).</w:t>
      </w:r>
    </w:p>
    <w:p w14:paraId="43D66CE8" w14:textId="77777777" w:rsidR="00AC0D51" w:rsidRDefault="00874092">
      <w:pPr>
        <w:pStyle w:val="CaptionText"/>
      </w:pPr>
      <w:r>
        <w:t>Table 6 — Baselines, participant-wise five-fold CV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644"/>
        <w:gridCol w:w="1077"/>
        <w:gridCol w:w="1077"/>
      </w:tblGrid>
      <w:tr w:rsidR="00AC0D51" w14:paraId="18586C58" w14:textId="77777777">
        <w:trPr>
          <w:jc w:val="center"/>
        </w:trPr>
        <w:tc>
          <w:tcPr>
            <w:tcW w:w="3515" w:type="dxa"/>
            <w:shd w:val="clear" w:color="auto" w:fill="D9E2F3"/>
          </w:tcPr>
          <w:p w14:paraId="141CC7EA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w="1644" w:type="dxa"/>
            <w:shd w:val="clear" w:color="auto" w:fill="D9E2F3"/>
          </w:tcPr>
          <w:p w14:paraId="2F2E285C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1077" w:type="dxa"/>
            <w:shd w:val="clear" w:color="auto" w:fill="D9E2F3"/>
          </w:tcPr>
          <w:p w14:paraId="18CF2EC9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077" w:type="dxa"/>
            <w:shd w:val="clear" w:color="auto" w:fill="D9E2F3"/>
          </w:tcPr>
          <w:p w14:paraId="5F4294EF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Recall</w:t>
            </w:r>
          </w:p>
        </w:tc>
      </w:tr>
      <w:tr w:rsidR="00AC0D51" w14:paraId="75A92649" w14:textId="77777777">
        <w:trPr>
          <w:jc w:val="center"/>
        </w:trPr>
        <w:tc>
          <w:tcPr>
            <w:tcW w:w="3515" w:type="dxa"/>
          </w:tcPr>
          <w:p w14:paraId="13412571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Logistic regression</w:t>
            </w:r>
          </w:p>
        </w:tc>
        <w:tc>
          <w:tcPr>
            <w:tcW w:w="1644" w:type="dxa"/>
          </w:tcPr>
          <w:p w14:paraId="45461FBD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0.656 ± 0.027</w:t>
            </w:r>
          </w:p>
        </w:tc>
        <w:tc>
          <w:tcPr>
            <w:tcW w:w="1077" w:type="dxa"/>
          </w:tcPr>
          <w:p w14:paraId="2E3C7EA3" w14:textId="77777777" w:rsidR="00AC0D51" w:rsidRDefault="00874092">
            <w:pPr>
              <w:spacing w:after="40"/>
            </w:pPr>
            <w:r>
              <w:rPr>
                <w:sz w:val="19"/>
              </w:rPr>
              <w:t>0.543</w:t>
            </w:r>
          </w:p>
        </w:tc>
        <w:tc>
          <w:tcPr>
            <w:tcW w:w="1077" w:type="dxa"/>
          </w:tcPr>
          <w:p w14:paraId="61D2F90C" w14:textId="77777777" w:rsidR="00AC0D51" w:rsidRDefault="00874092">
            <w:pPr>
              <w:spacing w:after="40"/>
            </w:pPr>
            <w:r>
              <w:rPr>
                <w:sz w:val="19"/>
              </w:rPr>
              <w:t>0.503</w:t>
            </w:r>
          </w:p>
        </w:tc>
      </w:tr>
      <w:tr w:rsidR="00AC0D51" w14:paraId="3A8B4FD2" w14:textId="77777777">
        <w:trPr>
          <w:jc w:val="center"/>
        </w:trPr>
        <w:tc>
          <w:tcPr>
            <w:tcW w:w="3515" w:type="dxa"/>
          </w:tcPr>
          <w:p w14:paraId="752EB20E" w14:textId="77777777" w:rsidR="00AC0D51" w:rsidRDefault="00874092">
            <w:pPr>
              <w:spacing w:after="40"/>
            </w:pPr>
            <w:r>
              <w:rPr>
                <w:sz w:val="19"/>
              </w:rPr>
              <w:t>MLP (16, 8)</w:t>
            </w:r>
          </w:p>
        </w:tc>
        <w:tc>
          <w:tcPr>
            <w:tcW w:w="1644" w:type="dxa"/>
          </w:tcPr>
          <w:p w14:paraId="1B71C6E3" w14:textId="77777777" w:rsidR="00AC0D51" w:rsidRDefault="00874092">
            <w:pPr>
              <w:spacing w:after="40"/>
            </w:pPr>
            <w:r>
              <w:rPr>
                <w:sz w:val="19"/>
              </w:rPr>
              <w:t>0.626 ± 0.038</w:t>
            </w:r>
          </w:p>
        </w:tc>
        <w:tc>
          <w:tcPr>
            <w:tcW w:w="1077" w:type="dxa"/>
          </w:tcPr>
          <w:p w14:paraId="76E7B96B" w14:textId="77777777" w:rsidR="00AC0D51" w:rsidRDefault="00874092">
            <w:pPr>
              <w:spacing w:after="40"/>
            </w:pPr>
            <w:r>
              <w:rPr>
                <w:sz w:val="19"/>
              </w:rPr>
              <w:t>0.526</w:t>
            </w:r>
          </w:p>
        </w:tc>
        <w:tc>
          <w:tcPr>
            <w:tcW w:w="1077" w:type="dxa"/>
          </w:tcPr>
          <w:p w14:paraId="32C13E99" w14:textId="77777777" w:rsidR="00AC0D51" w:rsidRDefault="00874092">
            <w:pPr>
              <w:spacing w:after="40"/>
            </w:pPr>
            <w:r>
              <w:rPr>
                <w:sz w:val="19"/>
              </w:rPr>
              <w:t>0.490</w:t>
            </w:r>
          </w:p>
        </w:tc>
      </w:tr>
      <w:tr w:rsidR="00AC0D51" w14:paraId="755E4EFE" w14:textId="77777777">
        <w:trPr>
          <w:jc w:val="center"/>
        </w:trPr>
        <w:tc>
          <w:tcPr>
            <w:tcW w:w="3515" w:type="dxa"/>
          </w:tcPr>
          <w:p w14:paraId="0D81F5C5" w14:textId="77777777" w:rsidR="00AC0D51" w:rsidRDefault="00874092">
            <w:pPr>
              <w:spacing w:after="40"/>
            </w:pPr>
            <w:r>
              <w:rPr>
                <w:sz w:val="19"/>
              </w:rPr>
              <w:t xml:space="preserve">Hour-of-day lookup </w:t>
            </w:r>
            <w:r>
              <w:rPr>
                <w:i/>
                <w:sz w:val="19"/>
              </w:rPr>
              <w:t>(baseline)</w:t>
            </w:r>
          </w:p>
        </w:tc>
        <w:tc>
          <w:tcPr>
            <w:tcW w:w="1644" w:type="dxa"/>
          </w:tcPr>
          <w:p w14:paraId="4DBE4F2C" w14:textId="77777777" w:rsidR="00AC0D51" w:rsidRDefault="00874092">
            <w:pPr>
              <w:spacing w:after="40"/>
            </w:pPr>
            <w:r>
              <w:rPr>
                <w:sz w:val="19"/>
              </w:rPr>
              <w:t>0.599 ± 0.039</w:t>
            </w:r>
          </w:p>
        </w:tc>
        <w:tc>
          <w:tcPr>
            <w:tcW w:w="1077" w:type="dxa"/>
          </w:tcPr>
          <w:p w14:paraId="18F02533" w14:textId="77777777" w:rsidR="00AC0D51" w:rsidRDefault="00874092">
            <w:pPr>
              <w:spacing w:after="40"/>
            </w:pPr>
            <w:r>
              <w:rPr>
                <w:sz w:val="19"/>
              </w:rPr>
              <w:t>0.443</w:t>
            </w:r>
          </w:p>
        </w:tc>
        <w:tc>
          <w:tcPr>
            <w:tcW w:w="1077" w:type="dxa"/>
          </w:tcPr>
          <w:p w14:paraId="4FCFE3AD" w14:textId="77777777" w:rsidR="00AC0D51" w:rsidRDefault="00874092">
            <w:pPr>
              <w:spacing w:after="40"/>
            </w:pPr>
            <w:r>
              <w:rPr>
                <w:sz w:val="19"/>
              </w:rPr>
              <w:t>0.374</w:t>
            </w:r>
          </w:p>
        </w:tc>
      </w:tr>
      <w:tr w:rsidR="00AC0D51" w14:paraId="301B0089" w14:textId="77777777">
        <w:trPr>
          <w:jc w:val="center"/>
        </w:trPr>
        <w:tc>
          <w:tcPr>
            <w:tcW w:w="3515" w:type="dxa"/>
          </w:tcPr>
          <w:p w14:paraId="3E095CBC" w14:textId="77777777" w:rsidR="00AC0D51" w:rsidRDefault="00874092">
            <w:pPr>
              <w:spacing w:after="40"/>
            </w:pPr>
            <w:r>
              <w:rPr>
                <w:sz w:val="19"/>
              </w:rPr>
              <w:t xml:space="preserve">Base and personal rate </w:t>
            </w:r>
            <w:r>
              <w:rPr>
                <w:i/>
                <w:sz w:val="19"/>
              </w:rPr>
              <w:t>(baselines)</w:t>
            </w:r>
          </w:p>
        </w:tc>
        <w:tc>
          <w:tcPr>
            <w:tcW w:w="1644" w:type="dxa"/>
          </w:tcPr>
          <w:p w14:paraId="083778E2" w14:textId="77777777" w:rsidR="00AC0D51" w:rsidRDefault="00874092">
            <w:pPr>
              <w:spacing w:after="40"/>
            </w:pPr>
            <w:r>
              <w:rPr>
                <w:sz w:val="19"/>
              </w:rPr>
              <w:t>0.500</w:t>
            </w:r>
          </w:p>
        </w:tc>
        <w:tc>
          <w:tcPr>
            <w:tcW w:w="1077" w:type="dxa"/>
          </w:tcPr>
          <w:p w14:paraId="53252EBF" w14:textId="77777777" w:rsidR="00AC0D51" w:rsidRDefault="00874092">
            <w:pPr>
              <w:spacing w:after="40"/>
            </w:pPr>
            <w:r>
              <w:rPr>
                <w:sz w:val="19"/>
              </w:rPr>
              <w:t>0.000</w:t>
            </w:r>
          </w:p>
        </w:tc>
        <w:tc>
          <w:tcPr>
            <w:tcW w:w="1077" w:type="dxa"/>
          </w:tcPr>
          <w:p w14:paraId="547F3B83" w14:textId="77777777" w:rsidR="00AC0D51" w:rsidRDefault="00874092">
            <w:pPr>
              <w:spacing w:after="40"/>
            </w:pPr>
            <w:r>
              <w:rPr>
                <w:sz w:val="19"/>
              </w:rPr>
              <w:t>0.000</w:t>
            </w:r>
          </w:p>
        </w:tc>
      </w:tr>
    </w:tbl>
    <w:p w14:paraId="16F0497C" w14:textId="77777777" w:rsidR="00AC0D51" w:rsidRDefault="00AC0D51">
      <w:pPr>
        <w:spacing w:after="80"/>
      </w:pPr>
    </w:p>
    <w:p w14:paraId="1B3FD8FD" w14:textId="77777777" w:rsidR="00AC0D51" w:rsidRDefault="00874092">
      <w:r>
        <w:t xml:space="preserve">The linear model beats the strongest baseline by 0.057 AUC; </w:t>
      </w:r>
      <w:r>
        <w:rPr>
          <w:b/>
        </w:rPr>
        <w:t>the neural network lost</w:t>
      </w:r>
      <w:r>
        <w:t xml:space="preserve">, reported rather than dropped: ~2,400 rows are too few. The personal-rate baseline scoring </w:t>
      </w:r>
      <w:r>
        <w:rPr>
          <w:b/>
        </w:rPr>
        <w:t>exactly</w:t>
      </w:r>
      <w:r>
        <w:t xml:space="preserve"> 0.500 is a leakage check that passed: under a participant-wise split a per-person lookup must collapse to the base rate. Decoding the cyclical hour coefficients recovers a learned </w:t>
      </w:r>
      <w:r>
        <w:rPr>
          <w:b/>
        </w:rPr>
        <w:t>circadian peak at 09:26</w:t>
      </w:r>
      <w:r>
        <w:t xml:space="preserve"> — unprompted agreement with chronobiology.</w:t>
      </w:r>
    </w:p>
    <w:p w14:paraId="7B742B90" w14:textId="77777777" w:rsidR="00AC0D51" w:rsidRDefault="00874092">
      <w:pPr>
        <w:pStyle w:val="CaptionText"/>
      </w:pPr>
      <w:r>
        <w:t>Figure 3 — Confusion matrix and strongest coefficients</w:t>
      </w:r>
    </w:p>
    <w:p w14:paraId="32B8225B" w14:textId="77777777" w:rsidR="00AC0D51" w:rsidRDefault="00874092">
      <w:pPr>
        <w:spacing w:after="200"/>
        <w:jc w:val="center"/>
      </w:pPr>
      <w:r>
        <w:rPr>
          <w:noProof/>
        </w:rPr>
        <w:drawing>
          <wp:inline distT="0" distB="0" distL="0" distR="0" wp14:anchorId="53962B18" wp14:editId="430013F5">
            <wp:extent cx="5580000" cy="2077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model-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E64" w14:textId="77777777" w:rsidR="00AC0D51" w:rsidRDefault="00874092">
      <w:r>
        <w:rPr>
          <w:b/>
        </w:rPr>
        <w:t>Effectiveness.</w:t>
      </w:r>
      <w:r>
        <w:t xml:space="preserve"> AUC says the model can rank hours, not that acting helps: each held-out participant’s hours were ranked and the top k checked.</w:t>
      </w:r>
    </w:p>
    <w:p w14:paraId="05027A4C" w14:textId="77777777" w:rsidR="00AC0D51" w:rsidRDefault="00874092">
      <w:pPr>
        <w:pStyle w:val="CaptionText"/>
      </w:pPr>
      <w:r>
        <w:t>Table 7 — Policy evaluation (base rate 0.447)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1191"/>
        <w:gridCol w:w="1191"/>
        <w:gridCol w:w="1191"/>
      </w:tblGrid>
      <w:tr w:rsidR="00AC0D51" w14:paraId="1215F428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4B1A7287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Policy</w:t>
            </w:r>
          </w:p>
        </w:tc>
        <w:tc>
          <w:tcPr>
            <w:tcW w:w="1191" w:type="dxa"/>
            <w:shd w:val="clear" w:color="auto" w:fill="D9E2F3"/>
          </w:tcPr>
          <w:p w14:paraId="50A8725E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P@1</w:t>
            </w:r>
          </w:p>
        </w:tc>
        <w:tc>
          <w:tcPr>
            <w:tcW w:w="1191" w:type="dxa"/>
            <w:shd w:val="clear" w:color="auto" w:fill="D9E2F3"/>
          </w:tcPr>
          <w:p w14:paraId="69386B5E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P@3</w:t>
            </w:r>
          </w:p>
        </w:tc>
        <w:tc>
          <w:tcPr>
            <w:tcW w:w="1191" w:type="dxa"/>
            <w:shd w:val="clear" w:color="auto" w:fill="D9E2F3"/>
          </w:tcPr>
          <w:p w14:paraId="347BF294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P@5</w:t>
            </w:r>
          </w:p>
        </w:tc>
      </w:tr>
      <w:tr w:rsidR="00AC0D51" w14:paraId="574FC236" w14:textId="77777777">
        <w:trPr>
          <w:jc w:val="center"/>
        </w:trPr>
        <w:tc>
          <w:tcPr>
            <w:tcW w:w="4649" w:type="dxa"/>
          </w:tcPr>
          <w:p w14:paraId="6F445495" w14:textId="77777777" w:rsidR="00AC0D51" w:rsidRDefault="00874092">
            <w:pPr>
              <w:spacing w:after="40"/>
            </w:pPr>
            <w:r>
              <w:rPr>
                <w:sz w:val="19"/>
              </w:rPr>
              <w:t xml:space="preserve">AuraFlow </w:t>
            </w:r>
            <w:r>
              <w:rPr>
                <w:i/>
                <w:sz w:val="19"/>
              </w:rPr>
              <w:t>(observed context)</w:t>
            </w:r>
          </w:p>
        </w:tc>
        <w:tc>
          <w:tcPr>
            <w:tcW w:w="1191" w:type="dxa"/>
          </w:tcPr>
          <w:p w14:paraId="2B6DBEDB" w14:textId="77777777" w:rsidR="00AC0D51" w:rsidRDefault="00874092">
            <w:pPr>
              <w:spacing w:after="40"/>
            </w:pPr>
            <w:r>
              <w:rPr>
                <w:sz w:val="19"/>
              </w:rPr>
              <w:t>0.667</w:t>
            </w:r>
          </w:p>
        </w:tc>
        <w:tc>
          <w:tcPr>
            <w:tcW w:w="1191" w:type="dxa"/>
          </w:tcPr>
          <w:p w14:paraId="2C3FB299" w14:textId="77777777" w:rsidR="00AC0D51" w:rsidRDefault="00874092">
            <w:pPr>
              <w:spacing w:after="40"/>
            </w:pPr>
            <w:r>
              <w:rPr>
                <w:sz w:val="19"/>
              </w:rPr>
              <w:t>0.652</w:t>
            </w:r>
          </w:p>
        </w:tc>
        <w:tc>
          <w:tcPr>
            <w:tcW w:w="1191" w:type="dxa"/>
          </w:tcPr>
          <w:p w14:paraId="22B365A9" w14:textId="77777777" w:rsidR="00AC0D51" w:rsidRDefault="00874092">
            <w:pPr>
              <w:spacing w:after="40"/>
            </w:pPr>
            <w:r>
              <w:rPr>
                <w:sz w:val="19"/>
              </w:rPr>
              <w:t>0.653</w:t>
            </w:r>
          </w:p>
        </w:tc>
      </w:tr>
      <w:tr w:rsidR="00AC0D51" w14:paraId="5CE3038B" w14:textId="77777777">
        <w:trPr>
          <w:jc w:val="center"/>
        </w:trPr>
        <w:tc>
          <w:tcPr>
            <w:tcW w:w="4649" w:type="dxa"/>
          </w:tcPr>
          <w:p w14:paraId="29DA65D7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AuraFlow (time and biometrics)</w:t>
            </w:r>
          </w:p>
        </w:tc>
        <w:tc>
          <w:tcPr>
            <w:tcW w:w="1191" w:type="dxa"/>
          </w:tcPr>
          <w:p w14:paraId="3A81A2E0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0.600</w:t>
            </w:r>
          </w:p>
        </w:tc>
        <w:tc>
          <w:tcPr>
            <w:tcW w:w="1191" w:type="dxa"/>
          </w:tcPr>
          <w:p w14:paraId="1A5246F1" w14:textId="77777777" w:rsidR="00AC0D51" w:rsidRDefault="00874092">
            <w:pPr>
              <w:spacing w:after="40"/>
            </w:pPr>
            <w:r>
              <w:rPr>
                <w:sz w:val="19"/>
              </w:rPr>
              <w:t>0.593</w:t>
            </w:r>
          </w:p>
        </w:tc>
        <w:tc>
          <w:tcPr>
            <w:tcW w:w="1191" w:type="dxa"/>
          </w:tcPr>
          <w:p w14:paraId="61783DAD" w14:textId="77777777" w:rsidR="00AC0D51" w:rsidRDefault="00874092">
            <w:pPr>
              <w:spacing w:after="40"/>
            </w:pPr>
            <w:r>
              <w:rPr>
                <w:sz w:val="19"/>
              </w:rPr>
              <w:t>0.578</w:t>
            </w:r>
          </w:p>
        </w:tc>
      </w:tr>
      <w:tr w:rsidR="00AC0D51" w14:paraId="0EF45D27" w14:textId="77777777">
        <w:trPr>
          <w:jc w:val="center"/>
        </w:trPr>
        <w:tc>
          <w:tcPr>
            <w:tcW w:w="4649" w:type="dxa"/>
          </w:tcPr>
          <w:p w14:paraId="0C0BC257" w14:textId="77777777" w:rsidR="00AC0D51" w:rsidRDefault="00874092">
            <w:pPr>
              <w:spacing w:after="40"/>
            </w:pPr>
            <w:r>
              <w:rPr>
                <w:sz w:val="19"/>
              </w:rPr>
              <w:t xml:space="preserve">Fixed 09:00 </w:t>
            </w:r>
            <w:r>
              <w:rPr>
                <w:i/>
                <w:sz w:val="19"/>
              </w:rPr>
              <w:t>(“work in the morning”)</w:t>
            </w:r>
          </w:p>
        </w:tc>
        <w:tc>
          <w:tcPr>
            <w:tcW w:w="1191" w:type="dxa"/>
          </w:tcPr>
          <w:p w14:paraId="3A2B4B16" w14:textId="77777777" w:rsidR="00AC0D51" w:rsidRDefault="00874092">
            <w:pPr>
              <w:spacing w:after="40"/>
            </w:pPr>
            <w:r>
              <w:rPr>
                <w:sz w:val="19"/>
              </w:rPr>
              <w:t>0.578</w:t>
            </w:r>
          </w:p>
        </w:tc>
        <w:tc>
          <w:tcPr>
            <w:tcW w:w="1191" w:type="dxa"/>
          </w:tcPr>
          <w:p w14:paraId="29EC6FC6" w14:textId="77777777" w:rsidR="00AC0D51" w:rsidRDefault="00874092">
            <w:pPr>
              <w:spacing w:after="40"/>
            </w:pPr>
            <w:r>
              <w:rPr>
                <w:sz w:val="19"/>
              </w:rPr>
              <w:t>0.556</w:t>
            </w:r>
          </w:p>
        </w:tc>
        <w:tc>
          <w:tcPr>
            <w:tcW w:w="1191" w:type="dxa"/>
          </w:tcPr>
          <w:p w14:paraId="6E88BE2B" w14:textId="77777777" w:rsidR="00AC0D51" w:rsidRDefault="00874092">
            <w:pPr>
              <w:spacing w:after="40"/>
            </w:pPr>
            <w:r>
              <w:rPr>
                <w:sz w:val="19"/>
              </w:rPr>
              <w:t>0.542</w:t>
            </w:r>
          </w:p>
        </w:tc>
      </w:tr>
      <w:tr w:rsidR="00AC0D51" w14:paraId="1A83A406" w14:textId="77777777">
        <w:trPr>
          <w:jc w:val="center"/>
        </w:trPr>
        <w:tc>
          <w:tcPr>
            <w:tcW w:w="4649" w:type="dxa"/>
          </w:tcPr>
          <w:p w14:paraId="4FA65970" w14:textId="77777777" w:rsidR="00AC0D51" w:rsidRDefault="00874092">
            <w:pPr>
              <w:spacing w:after="40"/>
            </w:pPr>
            <w:r>
              <w:rPr>
                <w:sz w:val="19"/>
              </w:rPr>
              <w:t>Population hour lookup</w:t>
            </w:r>
          </w:p>
        </w:tc>
        <w:tc>
          <w:tcPr>
            <w:tcW w:w="1191" w:type="dxa"/>
          </w:tcPr>
          <w:p w14:paraId="3BC20756" w14:textId="77777777" w:rsidR="00AC0D51" w:rsidRDefault="00874092">
            <w:pPr>
              <w:spacing w:after="40"/>
            </w:pPr>
            <w:r>
              <w:rPr>
                <w:sz w:val="19"/>
              </w:rPr>
              <w:t>0.533</w:t>
            </w:r>
          </w:p>
        </w:tc>
        <w:tc>
          <w:tcPr>
            <w:tcW w:w="1191" w:type="dxa"/>
          </w:tcPr>
          <w:p w14:paraId="1DA04C6E" w14:textId="77777777" w:rsidR="00AC0D51" w:rsidRDefault="00874092">
            <w:pPr>
              <w:spacing w:after="40"/>
            </w:pPr>
            <w:r>
              <w:rPr>
                <w:sz w:val="19"/>
              </w:rPr>
              <w:t>0.519</w:t>
            </w:r>
          </w:p>
        </w:tc>
        <w:tc>
          <w:tcPr>
            <w:tcW w:w="1191" w:type="dxa"/>
          </w:tcPr>
          <w:p w14:paraId="29A0D7CD" w14:textId="77777777" w:rsidR="00AC0D51" w:rsidRDefault="00874092">
            <w:pPr>
              <w:spacing w:after="40"/>
            </w:pPr>
            <w:r>
              <w:rPr>
                <w:sz w:val="19"/>
              </w:rPr>
              <w:t>0.493</w:t>
            </w:r>
          </w:p>
        </w:tc>
      </w:tr>
    </w:tbl>
    <w:p w14:paraId="473837C5" w14:textId="77777777" w:rsidR="00AC0D51" w:rsidRDefault="00AC0D51">
      <w:pPr>
        <w:spacing w:after="80"/>
      </w:pPr>
    </w:p>
    <w:p w14:paraId="52C0663E" w14:textId="77777777" w:rsidR="00AC0D51" w:rsidRDefault="00874092">
      <w:r>
        <w:rPr>
          <w:b/>
        </w:rPr>
        <w:lastRenderedPageBreak/>
        <w:t>The defensible figure is 0.600, not 0.667</w:t>
      </w:r>
      <w:r>
        <w:t xml:space="preserve">, because its strongest features record where a person </w:t>
      </w:r>
      <w:r>
        <w:rPr>
          <w:i/>
        </w:rPr>
        <w:t>was</w:t>
      </w:r>
      <w:r>
        <w:t xml:space="preserve">, which a deployed system must predict. The model gains +0.153 on a person’s own base rate, but only </w:t>
      </w:r>
      <w:r>
        <w:rPr>
          <w:b/>
        </w:rPr>
        <w:t>+0.022</w:t>
      </w:r>
      <w:r>
        <w:t xml:space="preserve"> on “work in the morning” — within noise, so it must not claim to beat generic advice.</w:t>
      </w:r>
    </w:p>
    <w:p w14:paraId="3A1F4505" w14:textId="77777777" w:rsidR="00AC0D51" w:rsidRDefault="00874092">
      <w:r>
        <w:rPr>
          <w:b/>
        </w:rPr>
        <w:t>The central finding.</w:t>
      </w:r>
      <w:r>
        <w:t xml:space="preserve"> The Recovery Score, validated per participant against self-reported readiness, reaches only ρ = 0.123, tying Fitbit’s own sleep score (0.119). Biometrics add </w:t>
      </w:r>
      <w:r>
        <w:rPr>
          <w:b/>
        </w:rPr>
        <w:t>+0.002</w:t>
      </w:r>
      <w:r>
        <w:t xml:space="preserve"> AUC over time alone against location’s +0.043. Three independent analyses therefore agree: wearable signals are weak predictors of subjective cognitive state; time and location carry the model. The disclosure interface of §4.4 exists because of it.</w:t>
      </w:r>
    </w:p>
    <w:p w14:paraId="5CA7AB41" w14:textId="77777777" w:rsidR="00AC0D51" w:rsidRDefault="00874092">
      <w:pPr>
        <w:pStyle w:val="Heading2"/>
      </w:pPr>
      <w:r>
        <w:t>5.5 Limitations and threats to validity</w:t>
      </w:r>
    </w:p>
    <w:p w14:paraId="2761BFAC" w14:textId="77777777" w:rsidR="00AC0D51" w:rsidRDefault="00874092">
      <w:pPr>
        <w:pStyle w:val="ListNumber"/>
        <w:spacing w:after="80"/>
      </w:pPr>
      <w:r>
        <w:rPr>
          <w:b/>
        </w:rPr>
        <w:t>Agreement, not causation.</w:t>
      </w:r>
      <w:r>
        <w:t xml:space="preserve"> The hours were lived and labelled before being ranked, so only a prospective trial could support a causal claim.</w:t>
      </w:r>
    </w:p>
    <w:p w14:paraId="6C02E1E7" w14:textId="77777777" w:rsidR="00AC0D51" w:rsidRDefault="00874092">
      <w:pPr>
        <w:pStyle w:val="ListNumber"/>
        <w:spacing w:after="80"/>
      </w:pPr>
      <w:r>
        <w:rPr>
          <w:b/>
        </w:rPr>
        <w:t>Recall 0.536.</w:t>
      </w:r>
      <w:r>
        <w:t xml:space="preserve"> The model misses 91 of 196 focus-ready hours; a missed good hour is cheaper than a bad recommendation, so the threshold is defensible but stated.</w:t>
      </w:r>
    </w:p>
    <w:p w14:paraId="45A15281" w14:textId="77777777" w:rsidR="00AC0D51" w:rsidRDefault="00874092">
      <w:pPr>
        <w:pStyle w:val="ListNumber"/>
        <w:spacing w:after="80"/>
      </w:pPr>
      <w:r>
        <w:rPr>
          <w:b/>
        </w:rPr>
        <w:t>A counter-intuitive coefficient.</w:t>
      </w:r>
      <w:r>
        <w:t xml:space="preserve"> Resting heart rate predicts readiness positively — likely confounded with time of day, and not interpreted causally.</w:t>
      </w:r>
    </w:p>
    <w:p w14:paraId="58E6F4CE" w14:textId="77777777" w:rsidR="00AC0D51" w:rsidRDefault="00874092">
      <w:pPr>
        <w:pStyle w:val="ListNumber"/>
        <w:spacing w:after="80"/>
      </w:pPr>
      <w:r>
        <w:rPr>
          <w:b/>
        </w:rPr>
        <w:t>Scope.</w:t>
      </w:r>
      <w:r>
        <w:t xml:space="preserve"> ROC-AUC 0.656 sits just above the conventional 0.60 floor; both cohorts are Fitbit-based and self-selected; and cross-cohort transfer and end-to-end UI behaviour are untested.</w:t>
      </w:r>
    </w:p>
    <w:p w14:paraId="2F4A69CA" w14:textId="77777777" w:rsidR="00AC0D51" w:rsidRDefault="00874092">
      <w:r>
        <w:br w:type="page"/>
      </w:r>
    </w:p>
    <w:p w14:paraId="54C933E3" w14:textId="77777777" w:rsidR="00AC0D51" w:rsidRDefault="00874092">
      <w:pPr>
        <w:pStyle w:val="Heading1"/>
      </w:pPr>
      <w:r>
        <w:lastRenderedPageBreak/>
        <w:t>Appendix C — Test evidence</w:t>
      </w:r>
    </w:p>
    <w:p w14:paraId="45D86C92" w14:textId="77777777" w:rsidR="00AC0D51" w:rsidRDefault="00874092">
      <w:r>
        <w:t>Captured verbatim from the runs; the summary lines are each suite’s own output rather than retyped text.</w:t>
      </w:r>
    </w:p>
    <w:p w14:paraId="1ACA0677" w14:textId="77777777" w:rsidR="00AC0D51" w:rsidRDefault="00874092">
      <w:pPr>
        <w:pStyle w:val="CaptionText"/>
      </w:pPr>
      <w:r>
        <w:t>Figure C.1 — Console output of the three suites: 460 + 371 + 92 = 923 tests passing, with the model-sync build gate confirming the bundled coefficients match the artifact</w:t>
      </w:r>
    </w:p>
    <w:p w14:paraId="5366CC82" w14:textId="77777777" w:rsidR="00AC0D51" w:rsidRDefault="00874092">
      <w:pPr>
        <w:spacing w:after="200"/>
        <w:jc w:val="center"/>
      </w:pPr>
      <w:r>
        <w:rPr>
          <w:noProof/>
        </w:rPr>
        <w:drawing>
          <wp:inline distT="0" distB="0" distL="0" distR="0" wp14:anchorId="750A7F7C" wp14:editId="2EC99DF3">
            <wp:extent cx="5688000" cy="3974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test-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89CB" w14:textId="77777777" w:rsidR="00AC0D51" w:rsidRDefault="00874092">
      <w:pPr>
        <w:pStyle w:val="CaptionText"/>
      </w:pPr>
      <w:r>
        <w:t>Table C.1 — Security assertions counted in §5.2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898"/>
        <w:gridCol w:w="6066"/>
      </w:tblGrid>
      <w:tr w:rsidR="00AC0D51" w14:paraId="71E41458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A73002B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Property asserted</w:t>
            </w:r>
          </w:p>
        </w:tc>
        <w:tc>
          <w:tcPr>
            <w:tcW w:w="1361" w:type="dxa"/>
            <w:shd w:val="clear" w:color="auto" w:fill="D9E2F3"/>
          </w:tcPr>
          <w:p w14:paraId="08DA6025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w="4309" w:type="dxa"/>
            <w:shd w:val="clear" w:color="auto" w:fill="D9E2F3"/>
          </w:tcPr>
          <w:p w14:paraId="3CA71BD8" w14:textId="77777777" w:rsidR="00AC0D51" w:rsidRDefault="00874092">
            <w:pPr>
              <w:spacing w:after="40"/>
            </w:pPr>
            <w:r>
              <w:rPr>
                <w:b/>
                <w:sz w:val="19"/>
              </w:rPr>
              <w:t>Representative case</w:t>
            </w:r>
          </w:p>
        </w:tc>
      </w:tr>
      <w:tr w:rsidR="00AC0D51" w14:paraId="55217166" w14:textId="77777777">
        <w:trPr>
          <w:jc w:val="center"/>
        </w:trPr>
        <w:tc>
          <w:tcPr>
            <w:tcW w:w="2551" w:type="dxa"/>
          </w:tcPr>
          <w:p w14:paraId="55ED5CDE" w14:textId="77777777" w:rsidR="00AC0D51" w:rsidRDefault="00874092">
            <w:pPr>
              <w:spacing w:after="40"/>
            </w:pPr>
            <w:r>
              <w:rPr>
                <w:sz w:val="19"/>
              </w:rPr>
              <w:t>Cross-account isolation</w:t>
            </w:r>
          </w:p>
        </w:tc>
        <w:tc>
          <w:tcPr>
            <w:tcW w:w="1361" w:type="dxa"/>
          </w:tcPr>
          <w:p w14:paraId="0E1095E1" w14:textId="77777777" w:rsidR="00AC0D51" w:rsidRDefault="00874092">
            <w:pPr>
              <w:spacing w:after="40"/>
            </w:pPr>
            <w:r>
              <w:rPr>
                <w:sz w:val="19"/>
              </w:rPr>
              <w:t>19</w:t>
            </w:r>
          </w:p>
        </w:tc>
        <w:tc>
          <w:tcPr>
            <w:tcW w:w="4309" w:type="dxa"/>
          </w:tcPr>
          <w:p w14:paraId="2D529B6D" w14:textId="77777777" w:rsidR="00AC0D51" w:rsidRDefault="00874092">
            <w:pPr>
              <w:spacing w:after="40"/>
            </w:pPr>
            <w:r>
              <w:rPr>
                <w:rFonts w:ascii="Consolas" w:hAnsi="Consolas"/>
                <w:sz w:val="19"/>
              </w:rPr>
              <w:t>should_not_leak_another_users_nights</w:t>
            </w:r>
          </w:p>
        </w:tc>
      </w:tr>
      <w:tr w:rsidR="00AC0D51" w14:paraId="1F3C15E1" w14:textId="77777777">
        <w:trPr>
          <w:jc w:val="center"/>
        </w:trPr>
        <w:tc>
          <w:tcPr>
            <w:tcW w:w="2551" w:type="dxa"/>
          </w:tcPr>
          <w:p w14:paraId="7F0836DC" w14:textId="77777777" w:rsidR="00AC0D51" w:rsidRDefault="00874092">
            <w:pPr>
              <w:spacing w:after="40"/>
            </w:pPr>
            <w:r>
              <w:rPr>
                <w:sz w:val="19"/>
              </w:rPr>
              <w:t>Unauthenticated access refused</w:t>
            </w:r>
          </w:p>
        </w:tc>
        <w:tc>
          <w:tcPr>
            <w:tcW w:w="1361" w:type="dxa"/>
          </w:tcPr>
          <w:p w14:paraId="792D89D5" w14:textId="77777777" w:rsidR="00AC0D51" w:rsidRDefault="00874092">
            <w:pPr>
              <w:spacing w:after="40"/>
            </w:pPr>
            <w:r>
              <w:rPr>
                <w:sz w:val="19"/>
              </w:rPr>
              <w:t>17</w:t>
            </w:r>
          </w:p>
        </w:tc>
        <w:tc>
          <w:tcPr>
            <w:tcW w:w="4309" w:type="dxa"/>
          </w:tcPr>
          <w:p w14:paraId="630DB094" w14:textId="77777777" w:rsidR="00AC0D51" w:rsidRDefault="00874092">
            <w:pPr>
              <w:spacing w:after="40"/>
            </w:pPr>
            <w:r>
              <w:rPr>
                <w:rFonts w:ascii="Consolas" w:hAnsi="Consolas"/>
                <w:sz w:val="19"/>
              </w:rPr>
              <w:t>should_reject_an_unauthenticated_request_for_the_profile</w:t>
            </w:r>
          </w:p>
        </w:tc>
      </w:tr>
      <w:tr w:rsidR="00AC0D51" w14:paraId="7F9CB250" w14:textId="77777777">
        <w:trPr>
          <w:jc w:val="center"/>
        </w:trPr>
        <w:tc>
          <w:tcPr>
            <w:tcW w:w="2551" w:type="dxa"/>
          </w:tcPr>
          <w:p w14:paraId="5F2012BB" w14:textId="77777777" w:rsidR="00AC0D51" w:rsidRDefault="00874092">
            <w:pPr>
              <w:spacing w:after="40"/>
            </w:pPr>
            <w:r>
              <w:rPr>
                <w:sz w:val="19"/>
              </w:rPr>
              <w:t>Login / one-time-code throttling</w:t>
            </w:r>
          </w:p>
        </w:tc>
        <w:tc>
          <w:tcPr>
            <w:tcW w:w="1361" w:type="dxa"/>
          </w:tcPr>
          <w:p w14:paraId="6C7B8066" w14:textId="77777777" w:rsidR="00AC0D51" w:rsidRDefault="00874092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4309" w:type="dxa"/>
          </w:tcPr>
          <w:p w14:paraId="58F9BB8B" w14:textId="77777777" w:rsidR="00AC0D51" w:rsidRDefault="00874092">
            <w:pPr>
              <w:spacing w:after="40"/>
            </w:pPr>
            <w:r>
              <w:rPr>
                <w:rFonts w:ascii="Consolas" w:hAnsi="Consolas"/>
                <w:sz w:val="19"/>
              </w:rPr>
              <w:t>should_lock_out_the_correct_password_too_once_throttled</w:t>
            </w:r>
          </w:p>
        </w:tc>
      </w:tr>
      <w:tr w:rsidR="00AC0D51" w14:paraId="54B6BF02" w14:textId="77777777">
        <w:trPr>
          <w:jc w:val="center"/>
        </w:trPr>
        <w:tc>
          <w:tcPr>
            <w:tcW w:w="2551" w:type="dxa"/>
          </w:tcPr>
          <w:p w14:paraId="397199B4" w14:textId="77777777" w:rsidR="00AC0D51" w:rsidRDefault="00874092">
            <w:pPr>
              <w:spacing w:after="40"/>
            </w:pPr>
            <w:r>
              <w:rPr>
                <w:sz w:val="19"/>
              </w:rPr>
              <w:t>No committed secrets</w:t>
            </w:r>
          </w:p>
        </w:tc>
        <w:tc>
          <w:tcPr>
            <w:tcW w:w="1361" w:type="dxa"/>
          </w:tcPr>
          <w:p w14:paraId="562264EF" w14:textId="77777777" w:rsidR="00AC0D51" w:rsidRDefault="00874092">
            <w:pPr>
              <w:spacing w:after="40"/>
            </w:pPr>
            <w:r>
              <w:rPr>
                <w:sz w:val="19"/>
              </w:rPr>
              <w:t>46 commits</w:t>
            </w:r>
          </w:p>
        </w:tc>
        <w:tc>
          <w:tcPr>
            <w:tcW w:w="4309" w:type="dxa"/>
          </w:tcPr>
          <w:p w14:paraId="0086F6CD" w14:textId="77777777" w:rsidR="00AC0D51" w:rsidRDefault="00874092">
            <w:pPr>
              <w:spacing w:after="40"/>
            </w:pPr>
            <w:r>
              <w:rPr>
                <w:rFonts w:ascii="Consolas" w:hAnsi="Consolas"/>
                <w:sz w:val="19"/>
              </w:rPr>
              <w:t>git log --all -p</w:t>
            </w:r>
            <w:r>
              <w:rPr>
                <w:sz w:val="19"/>
              </w:rPr>
              <w:t xml:space="preserve"> grepped for key and token patterns — no match</w:t>
            </w:r>
          </w:p>
        </w:tc>
      </w:tr>
    </w:tbl>
    <w:p w14:paraId="01CA93D6" w14:textId="77777777" w:rsidR="00AC0D51" w:rsidRDefault="00AC0D51">
      <w:pPr>
        <w:spacing w:after="80"/>
      </w:pPr>
    </w:p>
    <w:sectPr w:rsidR="00AC0D51" w:rsidSect="00034616">
      <w:footerReference w:type="default" r:id="rId10"/>
      <w:pgSz w:w="11906" w:h="16838"/>
      <w:pgMar w:top="1440" w:right="1440" w:bottom="1440" w:left="144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FDFA0" w14:textId="77777777" w:rsidR="00874092" w:rsidRDefault="00874092">
      <w:pPr>
        <w:spacing w:after="0" w:line="240" w:lineRule="auto"/>
      </w:pPr>
      <w:r>
        <w:separator/>
      </w:r>
    </w:p>
  </w:endnote>
  <w:endnote w:type="continuationSeparator" w:id="0">
    <w:p w14:paraId="2E2C45D3" w14:textId="77777777" w:rsidR="00874092" w:rsidRDefault="0087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9401" w14:textId="77777777" w:rsidR="00AC0D51" w:rsidRDefault="00874092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B52F97">
      <w:rPr>
        <w:sz w:val="18"/>
      </w:rPr>
      <w:fldChar w:fldCharType="separate"/>
    </w:r>
    <w:r w:rsidR="00B52F9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8F2F" w14:textId="77777777" w:rsidR="00874092" w:rsidRDefault="00874092">
      <w:pPr>
        <w:spacing w:after="0" w:line="240" w:lineRule="auto"/>
      </w:pPr>
      <w:r>
        <w:separator/>
      </w:r>
    </w:p>
  </w:footnote>
  <w:footnote w:type="continuationSeparator" w:id="0">
    <w:p w14:paraId="67389D6C" w14:textId="77777777" w:rsidR="00874092" w:rsidRDefault="00874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63ADB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669555">
    <w:abstractNumId w:val="8"/>
  </w:num>
  <w:num w:numId="2" w16cid:durableId="1688866384">
    <w:abstractNumId w:val="6"/>
  </w:num>
  <w:num w:numId="3" w16cid:durableId="1063262195">
    <w:abstractNumId w:val="5"/>
  </w:num>
  <w:num w:numId="4" w16cid:durableId="25835731">
    <w:abstractNumId w:val="4"/>
  </w:num>
  <w:num w:numId="5" w16cid:durableId="151914745">
    <w:abstractNumId w:val="7"/>
  </w:num>
  <w:num w:numId="6" w16cid:durableId="1620646390">
    <w:abstractNumId w:val="3"/>
  </w:num>
  <w:num w:numId="7" w16cid:durableId="377241880">
    <w:abstractNumId w:val="2"/>
  </w:num>
  <w:num w:numId="8" w16cid:durableId="1335839898">
    <w:abstractNumId w:val="1"/>
  </w:num>
  <w:num w:numId="9" w16cid:durableId="806895178">
    <w:abstractNumId w:val="0"/>
  </w:num>
  <w:num w:numId="10" w16cid:durableId="787355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78F"/>
    <w:rsid w:val="00326F90"/>
    <w:rsid w:val="00417784"/>
    <w:rsid w:val="00874092"/>
    <w:rsid w:val="00AA1D8D"/>
    <w:rsid w:val="00AC0D51"/>
    <w:rsid w:val="00B47730"/>
    <w:rsid w:val="00B52F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64B2B"/>
  <w14:defaultImageDpi w14:val="330"/>
  <w15:docId w15:val="{17D2A8EE-7A32-465D-BDBE-A909DE84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keepNext/>
      <w:spacing w:before="120" w:after="80"/>
    </w:pPr>
    <w:rPr>
      <w:rFonts w:ascii="Calibri" w:hAnsi="Calibri"/>
      <w:b/>
      <w:color w:val="404040"/>
      <w:sz w:val="19"/>
    </w:rPr>
  </w:style>
  <w:style w:type="paragraph" w:customStyle="1" w:styleId="Formula">
    <w:name w:val="Formula"/>
    <w:pPr>
      <w:spacing w:before="80" w:after="160"/>
      <w:ind w:left="567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Jayathilake, Jayawardhana Mudiyanselage Navod Thishan Vishvajith</cp:lastModifiedBy>
  <cp:revision>2</cp:revision>
  <dcterms:created xsi:type="dcterms:W3CDTF">2013-12-23T23:15:00Z</dcterms:created>
  <dcterms:modified xsi:type="dcterms:W3CDTF">2026-08-28T17:44:00Z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468dc4c4-7c19-4d94-b3ff-8a2f3f71b3af</vt:lpwstr>
  </property>
</Properties>
</file>