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3CDA0" w14:textId="77777777" w:rsidR="00AE08D6" w:rsidRDefault="00000000">
      <w:pPr>
        <w:pStyle w:val="Title"/>
      </w:pPr>
      <w:proofErr w:type="spellStart"/>
      <w:r>
        <w:t>SignaSpeech</w:t>
      </w:r>
      <w:proofErr w:type="spellEnd"/>
      <w:r>
        <w:t>: Real-Time Sign Language Recognition and Speech Conversion Using Mobile-Based Deep Learning</w:t>
      </w:r>
    </w:p>
    <w:p w14:paraId="2343D674" w14:textId="3D9F8C5A" w:rsidR="00AE08D6" w:rsidRDefault="00575B2F" w:rsidP="00575B2F">
      <w:pPr>
        <w:pStyle w:val="Heading1"/>
        <w:jc w:val="left"/>
      </w:pPr>
      <w:r>
        <w:t xml:space="preserve">          </w:t>
      </w:r>
      <w:r w:rsidR="00000000">
        <w:t>ABSTRACT</w:t>
      </w:r>
    </w:p>
    <w:p w14:paraId="7C86EF09" w14:textId="5FDFF77B" w:rsidR="00AE08D6" w:rsidRDefault="00000000">
      <w:pPr>
        <w:jc w:val="both"/>
      </w:pPr>
      <w:r>
        <w:t xml:space="preserve">Sign language is the primary mode of communication for approximately 70 million deaf and hard-of-hearing individuals worldwide. Despite its critical role, a persistent communication barrier exists between sign language users and the hearing population due to limited sign language literacy among the </w:t>
      </w:r>
      <w:r w:rsidR="00505E13">
        <w:t>public</w:t>
      </w:r>
      <w:r>
        <w:t xml:space="preserve">. Existing automated sign language recognition systems are frequently constrained by requirements for specialized sensor hardware, cloud-dependent inference that introduces network latency, or controlled laboratory conditions incompatible with real-world mobile deployment. This paper presents </w:t>
      </w:r>
      <w:proofErr w:type="spellStart"/>
      <w:r>
        <w:t>SignaSpeech</w:t>
      </w:r>
      <w:proofErr w:type="spellEnd"/>
      <w:r>
        <w:t xml:space="preserve">, a mobile-based real-time sign language recognition and speech conversion system built using Flutter for Android. The system employs a YOLOv8 deep learning model trained on a custom dataset of approximately 7,000 images across eight gesture classes, annotated using the </w:t>
      </w:r>
      <w:proofErr w:type="spellStart"/>
      <w:r>
        <w:t>Roboflow</w:t>
      </w:r>
      <w:proofErr w:type="spellEnd"/>
      <w:r>
        <w:t xml:space="preserve"> platform and exported in YOLO format. The trained model is converted to TensorFlow Lite format for fully offline on-device inference. Live camera frames are captured in YUV format, converted to RGB, resized to 224×224 pixels, normalized, and passed to the inference engine. Recognized gesture labels are immediately converted to audible speech via a Text-to-Speech engine. Evaluation on a held-out test partition demonstrates an overall classification accuracy of 91.3% with a mean inference latency of 41.4 milliseconds, confirming the suitability of </w:t>
      </w:r>
      <w:proofErr w:type="spellStart"/>
      <w:r>
        <w:t>SignaSpeech</w:t>
      </w:r>
      <w:proofErr w:type="spellEnd"/>
      <w:r>
        <w:t xml:space="preserve"> for real-time assistive communication without internet connectivity.</w:t>
      </w:r>
    </w:p>
    <w:p w14:paraId="5F8D36BC" w14:textId="77777777" w:rsidR="00AE08D6" w:rsidRDefault="00AE08D6">
      <w:pPr>
        <w:spacing w:before="80"/>
      </w:pPr>
    </w:p>
    <w:p w14:paraId="4779BDE9" w14:textId="77777777" w:rsidR="00AE08D6" w:rsidRDefault="00000000">
      <w:pPr>
        <w:jc w:val="both"/>
      </w:pPr>
      <w:r>
        <w:rPr>
          <w:b/>
          <w:bCs/>
        </w:rPr>
        <w:t xml:space="preserve">Keywords: </w:t>
      </w:r>
      <w:r>
        <w:t>sign language recognition, YOLOv8, TensorFlow Lite, mobile computing, Flutter, gesture classification, text-to-speech</w:t>
      </w:r>
    </w:p>
    <w:p w14:paraId="247777E7" w14:textId="77777777" w:rsidR="00AE08D6" w:rsidRDefault="00000000">
      <w:pPr>
        <w:pStyle w:val="Heading1"/>
      </w:pPr>
      <w:r>
        <w:t>I. INTRODUCTION</w:t>
      </w:r>
    </w:p>
    <w:p w14:paraId="163F8DBF" w14:textId="77777777" w:rsidR="00AE08D6" w:rsidRDefault="00000000">
      <w:pPr>
        <w:ind w:firstLine="567"/>
        <w:jc w:val="both"/>
      </w:pPr>
      <w:r>
        <w:t xml:space="preserve">Communication is a fundamental human right, yet individuals with hearing and speech impairments continue to face significant barriers in everyday interaction with hearing individuals. Sign language, a rich visual-spatial </w:t>
      </w:r>
      <w:r>
        <w:t xml:space="preserve">language that employs hand shapes, movements, facial expressions, and body posture to convey meaning, serves as the primary communication modality for an estimated 70 million deaf individuals globally </w:t>
      </w:r>
      <w:hyperlink w:anchor="ref1" w:history="1">
        <w:r>
          <w:rPr>
            <w:color w:val="0563C1"/>
            <w:u w:val="single"/>
          </w:rPr>
          <w:t>[1]</w:t>
        </w:r>
      </w:hyperlink>
      <w:r>
        <w:t xml:space="preserve">. Despite its centrality within deaf communities, sign language proficiency among the broader hearing population remains extremely limited, creating a persistent and debilitating communication gap that affects social inclusion, access to education, employment opportunities, and participation in civic life </w:t>
      </w:r>
      <w:hyperlink w:anchor="ref2" w:history="1">
        <w:r>
          <w:rPr>
            <w:color w:val="0563C1"/>
            <w:u w:val="single"/>
          </w:rPr>
          <w:t>[2]</w:t>
        </w:r>
      </w:hyperlink>
      <w:r>
        <w:t>.</w:t>
      </w:r>
    </w:p>
    <w:p w14:paraId="1F2D8E0A" w14:textId="77777777" w:rsidR="00AE08D6" w:rsidRDefault="00AE08D6">
      <w:pPr>
        <w:spacing w:before="60"/>
      </w:pPr>
    </w:p>
    <w:p w14:paraId="31AECB35" w14:textId="77777777" w:rsidR="00AE08D6" w:rsidRDefault="00000000">
      <w:pPr>
        <w:ind w:firstLine="567"/>
        <w:jc w:val="both"/>
      </w:pPr>
      <w:r>
        <w:t xml:space="preserve">Conventional approaches to bridging this communication gap have relied primarily on human interpreters. The availability of qualified sign language interpreters is, however, severely limited in many regions and the associated cost is prohibitive for large segments of the population requiring assistive communication services. Automated sign language recognition (SLR) systems represent a promising and scalable alternative, leveraging advances in computer vision and deep learning to translate gestural communication into textual or spoken language output without requiring a human intermediary </w:t>
      </w:r>
      <w:hyperlink w:anchor="ref3" w:history="1">
        <w:r>
          <w:rPr>
            <w:color w:val="0563C1"/>
            <w:u w:val="single"/>
          </w:rPr>
          <w:t>[3]</w:t>
        </w:r>
      </w:hyperlink>
      <w:r>
        <w:t xml:space="preserve">. Despite substantial research interest in recent years, many existing SLR systems exhibit critical limitations that impede practical deployment: they require specialized depth-sensing cameras or instrumented data gloves </w:t>
      </w:r>
      <w:hyperlink w:anchor="ref4" w:history="1">
        <w:r>
          <w:rPr>
            <w:color w:val="0563C1"/>
            <w:u w:val="single"/>
          </w:rPr>
          <w:t>[4]</w:t>
        </w:r>
      </w:hyperlink>
      <w:r>
        <w:t xml:space="preserve">, they rely on cloud-based inference that introduces unacceptable network latency and fails under poor connectivity </w:t>
      </w:r>
      <w:hyperlink w:anchor="ref5" w:history="1">
        <w:r>
          <w:rPr>
            <w:color w:val="0563C1"/>
            <w:u w:val="single"/>
          </w:rPr>
          <w:t>[5]</w:t>
        </w:r>
      </w:hyperlink>
      <w:r>
        <w:t>, or they are evaluated exclusively under controlled laboratory conditions that do not generalize to the diverse and unpredictable real-world environments in which assistive communication is needed.</w:t>
      </w:r>
    </w:p>
    <w:p w14:paraId="19B6853A" w14:textId="77777777" w:rsidR="00AE08D6" w:rsidRDefault="00AE08D6">
      <w:pPr>
        <w:spacing w:before="60"/>
      </w:pPr>
    </w:p>
    <w:p w14:paraId="0A21B4CD" w14:textId="77777777" w:rsidR="00AE08D6" w:rsidRDefault="00000000">
      <w:pPr>
        <w:ind w:firstLine="567"/>
        <w:jc w:val="both"/>
      </w:pPr>
      <w:r>
        <w:t xml:space="preserve">The widespread adoption of high-performance smartphones equipped with front-facing cameras and multi-core processors presents a compelling opportunity to deliver capable SLR systems directly on consumer hardware that is already accessible to the general population. Mobile-based SLR systems eliminate the requirement for any specialized peripheral equipment and offer the dual advantages of portability and accessibility, enabling real-time assistive communication in any context where a smartphone is available </w:t>
      </w:r>
      <w:hyperlink w:anchor="ref6" w:history="1">
        <w:r>
          <w:rPr>
            <w:color w:val="0563C1"/>
            <w:u w:val="single"/>
          </w:rPr>
          <w:t>[6]</w:t>
        </w:r>
      </w:hyperlink>
      <w:r>
        <w:t xml:space="preserve">. However, achieving the combination of high </w:t>
      </w:r>
      <w:r>
        <w:lastRenderedPageBreak/>
        <w:t xml:space="preserve">classification accuracy, low inference latency, and robust performance under varied real-world conditions within the computational and memory constraints of a mobile device remains a substantial and largely unresolved engineering challenge </w:t>
      </w:r>
      <w:hyperlink w:anchor="ref7" w:history="1">
        <w:r>
          <w:rPr>
            <w:color w:val="0563C1"/>
            <w:u w:val="single"/>
          </w:rPr>
          <w:t>[7]</w:t>
        </w:r>
      </w:hyperlink>
      <w:r>
        <w:t xml:space="preserve">, </w:t>
      </w:r>
      <w:hyperlink w:anchor="ref8" w:history="1">
        <w:r>
          <w:rPr>
            <w:color w:val="0563C1"/>
            <w:u w:val="single"/>
          </w:rPr>
          <w:t>[8]</w:t>
        </w:r>
      </w:hyperlink>
      <w:r>
        <w:t>.</w:t>
      </w:r>
    </w:p>
    <w:p w14:paraId="4A21CED3" w14:textId="77777777" w:rsidR="00AE08D6" w:rsidRDefault="00AE08D6">
      <w:pPr>
        <w:spacing w:before="60"/>
      </w:pPr>
    </w:p>
    <w:p w14:paraId="0E0850E4" w14:textId="77777777" w:rsidR="00AE08D6" w:rsidRDefault="00000000">
      <w:pPr>
        <w:ind w:firstLine="567"/>
        <w:jc w:val="both"/>
      </w:pPr>
      <w:r>
        <w:t xml:space="preserve">This paper presents </w:t>
      </w:r>
      <w:proofErr w:type="spellStart"/>
      <w:r>
        <w:t>SignaSpeech</w:t>
      </w:r>
      <w:proofErr w:type="spellEnd"/>
      <w:r>
        <w:t xml:space="preserve">, a mobile-based real-time sign language recognition and speech conversion system that directly addresses these limitations. The principal contributions of this work are as follows. A complete end-to-end sign language recognition pipeline is designed and implemented for fully offline on-device deployment on commodity Android smartphones. A YOLOv8 deep learning model </w:t>
      </w:r>
      <w:hyperlink w:anchor="ref9" w:history="1">
        <w:r>
          <w:rPr>
            <w:color w:val="0563C1"/>
            <w:u w:val="single"/>
          </w:rPr>
          <w:t>[9]</w:t>
        </w:r>
      </w:hyperlink>
      <w:r>
        <w:t xml:space="preserve"> is trained on a custom dataset of approximately 7,000 images across eight gesture classes annotated using the </w:t>
      </w:r>
      <w:proofErr w:type="spellStart"/>
      <w:r>
        <w:t>Roboflow</w:t>
      </w:r>
      <w:proofErr w:type="spellEnd"/>
      <w:r>
        <w:t xml:space="preserve"> platform </w:t>
      </w:r>
      <w:hyperlink w:anchor="ref10" w:history="1">
        <w:r>
          <w:rPr>
            <w:color w:val="0563C1"/>
            <w:u w:val="single"/>
          </w:rPr>
          <w:t>[10]</w:t>
        </w:r>
      </w:hyperlink>
      <w:r>
        <w:t xml:space="preserve">. The model is converted to TensorFlow Lite format </w:t>
      </w:r>
      <w:hyperlink w:anchor="ref11" w:history="1">
        <w:r>
          <w:rPr>
            <w:color w:val="0563C1"/>
            <w:u w:val="single"/>
          </w:rPr>
          <w:t>[11]</w:t>
        </w:r>
      </w:hyperlink>
      <w:r>
        <w:t xml:space="preserve"> and integrated into a Flutter mobile application </w:t>
      </w:r>
      <w:hyperlink w:anchor="ref12" w:history="1">
        <w:r>
          <w:rPr>
            <w:color w:val="0563C1"/>
            <w:u w:val="single"/>
          </w:rPr>
          <w:t>[12]</w:t>
        </w:r>
      </w:hyperlink>
      <w:r>
        <w:t xml:space="preserve"> that performs real-time camera streaming, YUV-to-RGB frame conversion, model inference, and Text-to-Speech synthesis within a unified software stack. Empirical evaluation on commodity Android hardware demonstrates an overall classification accuracy of 91.3% and a mean inference latency of 41.4 milliseconds, establishing the practical feasibility of the proposed system for real-world assistive use </w:t>
      </w:r>
      <w:hyperlink w:anchor="ref5" w:history="1">
        <w:r>
          <w:rPr>
            <w:color w:val="0563C1"/>
            <w:u w:val="single"/>
          </w:rPr>
          <w:t>[5]</w:t>
        </w:r>
      </w:hyperlink>
      <w:r>
        <w:t xml:space="preserve">, </w:t>
      </w:r>
      <w:hyperlink w:anchor="ref6" w:history="1">
        <w:r>
          <w:rPr>
            <w:color w:val="0563C1"/>
            <w:u w:val="single"/>
          </w:rPr>
          <w:t>[6]</w:t>
        </w:r>
      </w:hyperlink>
      <w:r>
        <w:t>.</w:t>
      </w:r>
    </w:p>
    <w:p w14:paraId="7014054E" w14:textId="77777777" w:rsidR="00AE08D6" w:rsidRDefault="00AE08D6">
      <w:pPr>
        <w:spacing w:before="60"/>
      </w:pPr>
    </w:p>
    <w:p w14:paraId="4B1C704E" w14:textId="77777777" w:rsidR="00AE08D6" w:rsidRDefault="00000000">
      <w:pPr>
        <w:ind w:firstLine="567"/>
        <w:jc w:val="both"/>
      </w:pPr>
      <w:r>
        <w:t>The remainder of this paper is structured as follows. Section II reviews related work in automated sign language recognition. Section III describes the methodology. Section IV presents results and discussion. Section V concludes the paper with directions for future work.</w:t>
      </w:r>
    </w:p>
    <w:p w14:paraId="1D0D3AA1" w14:textId="77777777" w:rsidR="00AE08D6" w:rsidRDefault="00000000">
      <w:pPr>
        <w:pStyle w:val="Heading1"/>
      </w:pPr>
      <w:r>
        <w:t>II. RELATED WORK</w:t>
      </w:r>
    </w:p>
    <w:p w14:paraId="1F8EE13F" w14:textId="77777777" w:rsidR="00AE08D6" w:rsidRDefault="00000000">
      <w:pPr>
        <w:ind w:firstLine="567"/>
        <w:jc w:val="both"/>
      </w:pPr>
      <w:r>
        <w:t xml:space="preserve">Research in automated sign language recognition has evolved through several distinct paradigms over the past three decades. Early work in the field employed wearable sensing approaches, instrumenting the signer's hand with data gloves equipped with bend sensors, accelerometers, and gyroscopes to capture the kinematic state of the hand and fingers </w:t>
      </w:r>
      <w:hyperlink w:anchor="ref4" w:history="1">
        <w:r>
          <w:rPr>
            <w:color w:val="0563C1"/>
            <w:u w:val="single"/>
          </w:rPr>
          <w:t>[4]</w:t>
        </w:r>
      </w:hyperlink>
      <w:r>
        <w:t xml:space="preserve">. While these systems demonstrated reasonable recognition accuracy for isolated gesture vocabularies in controlled conditions, the </w:t>
      </w:r>
      <w:r>
        <w:t xml:space="preserve">requirement for specialized and costly wearable hardware severely limited their accessibility and practical adoption as a general assistive technology </w:t>
      </w:r>
      <w:hyperlink w:anchor="ref13" w:history="1">
        <w:r>
          <w:rPr>
            <w:color w:val="0563C1"/>
            <w:u w:val="single"/>
          </w:rPr>
          <w:t>[13]</w:t>
        </w:r>
      </w:hyperlink>
      <w:r>
        <w:t>.</w:t>
      </w:r>
    </w:p>
    <w:p w14:paraId="4763EE8D" w14:textId="77777777" w:rsidR="00AE08D6" w:rsidRDefault="00AE08D6">
      <w:pPr>
        <w:spacing w:before="60"/>
      </w:pPr>
    </w:p>
    <w:p w14:paraId="5FC367B2" w14:textId="77777777" w:rsidR="00AE08D6" w:rsidRDefault="00000000">
      <w:pPr>
        <w:ind w:firstLine="567"/>
        <w:jc w:val="both"/>
      </w:pPr>
      <w:r>
        <w:t xml:space="preserve">Vision-based approaches subsequently became dominant, leveraging standard RGB or depth cameras to capture sign language gestures without requiring the signer to wear any instrumentation. Convolutional neural network (CNN) architectures demonstrated substantial improvements over hand-crafted feature descriptors for sign recognition tasks. Pigou et al. showed that CNN features extracted from depth video sequences substantially outperformed earlier template matching and histogram-based approaches </w:t>
      </w:r>
      <w:hyperlink w:anchor="ref14" w:history="1">
        <w:r>
          <w:rPr>
            <w:color w:val="0563C1"/>
            <w:u w:val="single"/>
          </w:rPr>
          <w:t>[14]</w:t>
        </w:r>
      </w:hyperlink>
      <w:r>
        <w:t xml:space="preserve">. The availability of commodity depth sensors such as the Microsoft Kinect enabled richer three-dimensional spatial representations of hand and body pose, though the requirement for such dedicated hardware continued to restrict portable deployment </w:t>
      </w:r>
      <w:hyperlink w:anchor="ref13" w:history="1">
        <w:r>
          <w:rPr>
            <w:color w:val="0563C1"/>
            <w:u w:val="single"/>
          </w:rPr>
          <w:t>[13]</w:t>
        </w:r>
      </w:hyperlink>
      <w:r>
        <w:t xml:space="preserve">, </w:t>
      </w:r>
      <w:hyperlink w:anchor="ref14" w:history="1">
        <w:r>
          <w:rPr>
            <w:color w:val="0563C1"/>
            <w:u w:val="single"/>
          </w:rPr>
          <w:t>[14]</w:t>
        </w:r>
      </w:hyperlink>
      <w:r>
        <w:t>.</w:t>
      </w:r>
    </w:p>
    <w:p w14:paraId="666DF4A6" w14:textId="77777777" w:rsidR="00AE08D6" w:rsidRDefault="00AE08D6">
      <w:pPr>
        <w:spacing w:before="60"/>
      </w:pPr>
    </w:p>
    <w:p w14:paraId="234F6E1B" w14:textId="77777777" w:rsidR="00AE08D6" w:rsidRDefault="00000000">
      <w:pPr>
        <w:ind w:firstLine="567"/>
        <w:jc w:val="both"/>
      </w:pPr>
      <w:r>
        <w:t xml:space="preserve">To model the temporal dependencies inherent in continuous sign language gestures, recurrent architectures including Long Short-Term Memory (LSTM) networks were introduced alongside CNN-based spatial feature extractors. Koller et al. proposed a hybrid CNN-LSTM framework for weakly supervised continuous sign language recognition, achieving competitive performance on standard benchmarks </w:t>
      </w:r>
      <w:hyperlink w:anchor="ref15" w:history="1">
        <w:r>
          <w:rPr>
            <w:color w:val="0563C1"/>
            <w:u w:val="single"/>
          </w:rPr>
          <w:t>[15]</w:t>
        </w:r>
      </w:hyperlink>
      <w:r>
        <w:t xml:space="preserve">. However, the sequential computational structure of recurrent inference imposes significant latency overhead that is incompatible with real-time mobile deployment requirements </w:t>
      </w:r>
      <w:hyperlink w:anchor="ref7" w:history="1">
        <w:r>
          <w:rPr>
            <w:color w:val="0563C1"/>
            <w:u w:val="single"/>
          </w:rPr>
          <w:t>[7]</w:t>
        </w:r>
      </w:hyperlink>
      <w:r>
        <w:t xml:space="preserve">, </w:t>
      </w:r>
      <w:hyperlink w:anchor="ref8" w:history="1">
        <w:r>
          <w:rPr>
            <w:color w:val="0563C1"/>
            <w:u w:val="single"/>
          </w:rPr>
          <w:t>[8]</w:t>
        </w:r>
      </w:hyperlink>
      <w:r>
        <w:t>.</w:t>
      </w:r>
    </w:p>
    <w:p w14:paraId="393FC791" w14:textId="77777777" w:rsidR="00AE08D6" w:rsidRDefault="00AE08D6">
      <w:pPr>
        <w:spacing w:before="60"/>
      </w:pPr>
    </w:p>
    <w:p w14:paraId="5ED7E3A2" w14:textId="1BA9ACF9" w:rsidR="00AE08D6" w:rsidRDefault="00000000">
      <w:pPr>
        <w:ind w:firstLine="567"/>
        <w:jc w:val="both"/>
      </w:pPr>
      <w:r>
        <w:t xml:space="preserve">The publication of </w:t>
      </w:r>
      <w:proofErr w:type="spellStart"/>
      <w:r>
        <w:t>MediaPipe</w:t>
      </w:r>
      <w:proofErr w:type="spellEnd"/>
      <w:r>
        <w:t xml:space="preserve"> Hands by Google represented a significant advance in lightweight mobile hand tracking </w:t>
      </w:r>
      <w:hyperlink w:anchor="ref16" w:history="1">
        <w:r>
          <w:rPr>
            <w:color w:val="0563C1"/>
            <w:u w:val="single"/>
          </w:rPr>
          <w:t>[16]</w:t>
        </w:r>
      </w:hyperlink>
      <w:r>
        <w:t xml:space="preserve">. Systems built on top of hand landmark </w:t>
      </w:r>
      <w:r w:rsidR="00575B2F">
        <w:t>key point</w:t>
      </w:r>
      <w:r>
        <w:t xml:space="preserve"> extraction reduce the recognition problem to classification over a compact 21-keypoint hand skeleton representation, enabling efficient inference on mobile hardware. Nevertheless, </w:t>
      </w:r>
      <w:r w:rsidR="00575B2F">
        <w:t>key point</w:t>
      </w:r>
      <w:r>
        <w:t xml:space="preserve">-only representations may fail to capture the full spatial texture and shape detail required to discriminate visually similar gestures, and </w:t>
      </w:r>
      <w:r w:rsidR="00575B2F">
        <w:t>key point</w:t>
      </w:r>
      <w:r>
        <w:t xml:space="preserve"> extraction is sensitive to partial hand occlusion </w:t>
      </w:r>
      <w:hyperlink w:anchor="ref17" w:history="1">
        <w:r>
          <w:rPr>
            <w:color w:val="0563C1"/>
            <w:u w:val="single"/>
          </w:rPr>
          <w:t>[17]</w:t>
        </w:r>
      </w:hyperlink>
      <w:r>
        <w:t>.</w:t>
      </w:r>
    </w:p>
    <w:p w14:paraId="1B44B584" w14:textId="77777777" w:rsidR="00AE08D6" w:rsidRDefault="00AE08D6">
      <w:pPr>
        <w:spacing w:before="60"/>
      </w:pPr>
    </w:p>
    <w:p w14:paraId="35F43F80" w14:textId="77777777" w:rsidR="00AE08D6" w:rsidRDefault="00000000">
      <w:pPr>
        <w:ind w:firstLine="567"/>
        <w:jc w:val="both"/>
      </w:pPr>
      <w:r>
        <w:lastRenderedPageBreak/>
        <w:t xml:space="preserve">The YOLO family of single-stage object detection architectures has demonstrated strong performance in real-time visual recognition tasks by reformulating detection as a dense spatial prediction problem solved in a single network forward pass, eliminating the latency overhead of two-stage region proposal and classification pipelines </w:t>
      </w:r>
      <w:hyperlink w:anchor="ref9" w:history="1">
        <w:r>
          <w:rPr>
            <w:color w:val="0563C1"/>
            <w:u w:val="single"/>
          </w:rPr>
          <w:t>[9]</w:t>
        </w:r>
      </w:hyperlink>
      <w:r>
        <w:t xml:space="preserve">. Recent studies applying YOLO variants to hand gesture detection have reported competitive classification accuracy with inference speeds suitable for real-time interaction </w:t>
      </w:r>
      <w:hyperlink w:anchor="ref9" w:history="1">
        <w:r>
          <w:rPr>
            <w:color w:val="0563C1"/>
            <w:u w:val="single"/>
          </w:rPr>
          <w:t>[9]</w:t>
        </w:r>
      </w:hyperlink>
      <w:r>
        <w:t xml:space="preserve">, </w:t>
      </w:r>
      <w:hyperlink w:anchor="ref18" w:history="1">
        <w:r>
          <w:rPr>
            <w:color w:val="0563C1"/>
            <w:u w:val="single"/>
          </w:rPr>
          <w:t>[18]</w:t>
        </w:r>
      </w:hyperlink>
      <w:r>
        <w:t xml:space="preserve">. The YOLOv8 architecture by </w:t>
      </w:r>
      <w:proofErr w:type="spellStart"/>
      <w:r>
        <w:t>Ultralytics</w:t>
      </w:r>
      <w:proofErr w:type="spellEnd"/>
      <w:r>
        <w:t xml:space="preserve"> introduced an anchor-free detection head and an improved backbone, achieving superior accuracy-throughput trade-offs relative to its predecessors on standard benchmarks </w:t>
      </w:r>
      <w:hyperlink w:anchor="ref9" w:history="1">
        <w:r>
          <w:rPr>
            <w:color w:val="0563C1"/>
            <w:u w:val="single"/>
          </w:rPr>
          <w:t>[9]</w:t>
        </w:r>
      </w:hyperlink>
      <w:r>
        <w:t>.</w:t>
      </w:r>
    </w:p>
    <w:p w14:paraId="7634F454" w14:textId="77777777" w:rsidR="00AE08D6" w:rsidRDefault="00AE08D6">
      <w:pPr>
        <w:spacing w:before="60"/>
      </w:pPr>
    </w:p>
    <w:p w14:paraId="688E2AC2" w14:textId="77777777" w:rsidR="00AE08D6" w:rsidRDefault="00000000">
      <w:pPr>
        <w:ind w:firstLine="567"/>
        <w:jc w:val="both"/>
      </w:pPr>
      <w:r>
        <w:t xml:space="preserve">Transformer-based architectures have recently achieved state-of-the-art performance on sign language translation benchmarks. </w:t>
      </w:r>
      <w:proofErr w:type="spellStart"/>
      <w:r>
        <w:t>Camgoz</w:t>
      </w:r>
      <w:proofErr w:type="spellEnd"/>
      <w:r>
        <w:t xml:space="preserve"> et al. proposed a sign language transformer that jointly performs gesture recognition and spoken language translation </w:t>
      </w:r>
      <w:hyperlink w:anchor="ref19" w:history="1">
        <w:r>
          <w:rPr>
            <w:color w:val="0563C1"/>
            <w:u w:val="single"/>
          </w:rPr>
          <w:t>[19]</w:t>
        </w:r>
      </w:hyperlink>
      <w:r>
        <w:t xml:space="preserve">. While these approaches demonstrate impressive benchmark results, their parameter counts and computational requirements presently preclude real-time deployment on mid-range mobile hardware without substantial model compression, which introduces additional engineering complexity </w:t>
      </w:r>
      <w:hyperlink w:anchor="ref7" w:history="1">
        <w:r>
          <w:rPr>
            <w:color w:val="0563C1"/>
            <w:u w:val="single"/>
          </w:rPr>
          <w:t>[7]</w:t>
        </w:r>
      </w:hyperlink>
      <w:r>
        <w:t xml:space="preserve">. </w:t>
      </w:r>
      <w:proofErr w:type="spellStart"/>
      <w:r>
        <w:t>SignaSpeech</w:t>
      </w:r>
      <w:proofErr w:type="spellEnd"/>
      <w:r>
        <w:t xml:space="preserve"> addresses the gap between research benchmark performance and practical mobile deployment by combining a YOLOv8-based recognition model with a complete offline Flutter application pipeline incorporating Text-to-Speech output.</w:t>
      </w:r>
    </w:p>
    <w:p w14:paraId="310B3237" w14:textId="77777777" w:rsidR="00AE08D6" w:rsidRDefault="00000000">
      <w:pPr>
        <w:pStyle w:val="Heading1"/>
      </w:pPr>
      <w:r>
        <w:t>III. METHODOLOGY</w:t>
      </w:r>
    </w:p>
    <w:p w14:paraId="15922460" w14:textId="77777777" w:rsidR="00AE08D6" w:rsidRDefault="00000000">
      <w:pPr>
        <w:ind w:firstLine="567"/>
        <w:jc w:val="both"/>
      </w:pPr>
      <w:r>
        <w:t xml:space="preserve">This section presents a detailed account of the methodology employed in the design, development, and evaluation of the </w:t>
      </w:r>
      <w:proofErr w:type="spellStart"/>
      <w:r>
        <w:t>SignaSpeech</w:t>
      </w:r>
      <w:proofErr w:type="spellEnd"/>
      <w:r>
        <w:t xml:space="preserve"> system, covering the system architecture, dataset construction and annotation, model training, model conversion and deployment, image preprocessing, real-time inference and application integration, and performance visualization strategy.</w:t>
      </w:r>
    </w:p>
    <w:p w14:paraId="228A39CA" w14:textId="77777777" w:rsidR="00AE08D6" w:rsidRDefault="00000000">
      <w:pPr>
        <w:pStyle w:val="Heading2"/>
      </w:pPr>
      <w:r>
        <w:t>A. System Architecture</w:t>
      </w:r>
    </w:p>
    <w:p w14:paraId="2BD7B5BA" w14:textId="77777777" w:rsidR="00AE08D6" w:rsidRDefault="00000000">
      <w:pPr>
        <w:ind w:firstLine="567"/>
        <w:jc w:val="both"/>
      </w:pPr>
      <w:r>
        <w:t xml:space="preserve">The </w:t>
      </w:r>
      <w:proofErr w:type="spellStart"/>
      <w:r>
        <w:t>SignaSpeech</w:t>
      </w:r>
      <w:proofErr w:type="spellEnd"/>
      <w:r>
        <w:t xml:space="preserve"> system implements a six-stage sequential inference pipeline, as illustrated in Fig. 1. The pipeline accepts raw video frames from the mobile device camera </w:t>
      </w:r>
      <w:r>
        <w:t xml:space="preserve">and produces an audible speech utterance corresponding to the recognized sign language gesture entirely on-device, without requiring any network connectivity </w:t>
      </w:r>
      <w:hyperlink w:anchor="ref11" w:history="1">
        <w:r>
          <w:rPr>
            <w:color w:val="0563C1"/>
            <w:u w:val="single"/>
          </w:rPr>
          <w:t>[11]</w:t>
        </w:r>
      </w:hyperlink>
      <w:r>
        <w:t xml:space="preserve">. This fully offline design ensures consistent and reliable assistive communication performance in environments where internet access is unavailable or unreliable </w:t>
      </w:r>
      <w:hyperlink w:anchor="ref5" w:history="1">
        <w:r>
          <w:rPr>
            <w:color w:val="0563C1"/>
            <w:u w:val="single"/>
          </w:rPr>
          <w:t>[5]</w:t>
        </w:r>
      </w:hyperlink>
      <w:r>
        <w:t xml:space="preserve">, </w:t>
      </w:r>
      <w:hyperlink w:anchor="ref6" w:history="1">
        <w:r>
          <w:rPr>
            <w:color w:val="0563C1"/>
            <w:u w:val="single"/>
          </w:rPr>
          <w:t>[6]</w:t>
        </w:r>
      </w:hyperlink>
      <w:r>
        <w:t>.</w:t>
      </w:r>
    </w:p>
    <w:p w14:paraId="0D637505" w14:textId="26A2CAC6" w:rsidR="00AE08D6" w:rsidRDefault="00505E13">
      <w:pPr>
        <w:spacing w:before="60"/>
      </w:pPr>
      <w:r>
        <w:rPr>
          <w:noProof/>
        </w:rPr>
        <w:drawing>
          <wp:inline distT="0" distB="0" distL="0" distR="0" wp14:anchorId="3258367C" wp14:editId="3ADDAE47">
            <wp:extent cx="2651760" cy="1767840"/>
            <wp:effectExtent l="0" t="0" r="0" b="3810"/>
            <wp:docPr id="205570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51760" cy="1767840"/>
                    </a:xfrm>
                    <a:prstGeom prst="rect">
                      <a:avLst/>
                    </a:prstGeom>
                    <a:noFill/>
                    <a:ln>
                      <a:noFill/>
                    </a:ln>
                  </pic:spPr>
                </pic:pic>
              </a:graphicData>
            </a:graphic>
          </wp:inline>
        </w:drawing>
      </w:r>
    </w:p>
    <w:p w14:paraId="27D86630" w14:textId="77777777" w:rsidR="00AE08D6" w:rsidRDefault="00000000">
      <w:pPr>
        <w:pStyle w:val="FigureCaption"/>
        <w:spacing w:before="80"/>
      </w:pPr>
      <w:r>
        <w:t xml:space="preserve">Fig. 1.  </w:t>
      </w:r>
      <w:proofErr w:type="spellStart"/>
      <w:r>
        <w:t>SignaSpeech</w:t>
      </w:r>
      <w:proofErr w:type="spellEnd"/>
      <w:r>
        <w:t xml:space="preserve"> end-to-end system pipeline: Camera Capture → YUV-to-RGB Conversion → Resize and Normalize (224×224, [0,1]) → YOLOv8 </w:t>
      </w:r>
      <w:proofErr w:type="spellStart"/>
      <w:r>
        <w:t>TFLite</w:t>
      </w:r>
      <w:proofErr w:type="spellEnd"/>
      <w:r>
        <w:t xml:space="preserve"> Inference → Confidence Filtering and Label Mapping → Text-to-Speech Output.</w:t>
      </w:r>
    </w:p>
    <w:p w14:paraId="33D5190E" w14:textId="77777777" w:rsidR="00AE08D6" w:rsidRDefault="00000000">
      <w:pPr>
        <w:ind w:firstLine="567"/>
        <w:jc w:val="both"/>
      </w:pPr>
      <w:r>
        <w:t xml:space="preserve">The first stage captures a continuous frame stream from the Android device camera using the Flutter camera package, which internally invokes the Android Camera2 API </w:t>
      </w:r>
      <w:hyperlink w:anchor="ref20" w:history="1">
        <w:r>
          <w:rPr>
            <w:color w:val="0563C1"/>
            <w:u w:val="single"/>
          </w:rPr>
          <w:t>[20]</w:t>
        </w:r>
      </w:hyperlink>
      <w:r>
        <w:t xml:space="preserve">. Frames are delivered in the YUV420 semi-planar format. The second stage converts each YUV420 frame to the RGB </w:t>
      </w:r>
      <w:proofErr w:type="spellStart"/>
      <w:r>
        <w:t>colour</w:t>
      </w:r>
      <w:proofErr w:type="spellEnd"/>
      <w:r>
        <w:t xml:space="preserve"> space using the ITU-R BT.601 transformation, accounting for per-plane stride values. The third stage applies spatial resizing and pixel normalization to produce the fixed-format input tensor. The fourth stage executes the TensorFlow Lite inference engine on the preprocessed tensor </w:t>
      </w:r>
      <w:hyperlink w:anchor="ref11" w:history="1">
        <w:r>
          <w:rPr>
            <w:color w:val="0563C1"/>
            <w:u w:val="single"/>
          </w:rPr>
          <w:t>[11]</w:t>
        </w:r>
      </w:hyperlink>
      <w:r>
        <w:t xml:space="preserve">. The fifth stage applies confidence threshold filtering, maps the winning class index to a gesture label, and applies temporal prediction smoothing across consecutive frames. The sixth stage triggers the Text-to-Speech engine to produce audible speech output from the confirmed gesture label </w:t>
      </w:r>
      <w:hyperlink w:anchor="ref12" w:history="1">
        <w:r>
          <w:rPr>
            <w:color w:val="0563C1"/>
            <w:u w:val="single"/>
          </w:rPr>
          <w:t>[12]</w:t>
        </w:r>
      </w:hyperlink>
      <w:r>
        <w:t>.</w:t>
      </w:r>
    </w:p>
    <w:p w14:paraId="112EEADB" w14:textId="77777777" w:rsidR="00AE08D6" w:rsidRDefault="00000000">
      <w:pPr>
        <w:pStyle w:val="Heading2"/>
      </w:pPr>
      <w:r>
        <w:t>B. Dataset Description and Annotation</w:t>
      </w:r>
    </w:p>
    <w:p w14:paraId="4FF492F3" w14:textId="77777777" w:rsidR="00AE08D6" w:rsidRDefault="00000000">
      <w:pPr>
        <w:ind w:firstLine="567"/>
        <w:jc w:val="both"/>
      </w:pPr>
      <w:r>
        <w:t xml:space="preserve">A custom sign language gesture image dataset was constructed comprising approximately 7,000 images distributed across eight gesture classes: Good Luck, </w:t>
      </w:r>
      <w:proofErr w:type="gramStart"/>
      <w:r>
        <w:t>Hello</w:t>
      </w:r>
      <w:proofErr w:type="gramEnd"/>
      <w:r>
        <w:t xml:space="preserve">, I Love You, No, Please, Thank You, Thumbs Up, and Yes. These classes were selected to represent a diverse and practically relevant vocabulary </w:t>
      </w:r>
      <w:r>
        <w:lastRenderedPageBreak/>
        <w:t xml:space="preserve">spanning single-handed and double-handed signs and gestures with distinctly different hand configurations </w:t>
      </w:r>
      <w:hyperlink w:anchor="ref21" w:history="1">
        <w:r>
          <w:rPr>
            <w:color w:val="0563C1"/>
            <w:u w:val="single"/>
          </w:rPr>
          <w:t>[21]</w:t>
        </w:r>
      </w:hyperlink>
      <w:r>
        <w:t xml:space="preserve">. Images were captured from multiple volunteer signers across varied indoor environments, including differing ambient lighting intensities, camera distances between 30 and 70 </w:t>
      </w:r>
      <w:proofErr w:type="spellStart"/>
      <w:r>
        <w:t>centimetres</w:t>
      </w:r>
      <w:proofErr w:type="spellEnd"/>
      <w:r>
        <w:t xml:space="preserve">, and diverse backgrounds, to promote robust model generalization </w:t>
      </w:r>
      <w:hyperlink w:anchor="ref21" w:history="1">
        <w:r>
          <w:rPr>
            <w:color w:val="0563C1"/>
            <w:u w:val="single"/>
          </w:rPr>
          <w:t>[21]</w:t>
        </w:r>
      </w:hyperlink>
      <w:r>
        <w:t xml:space="preserve">, </w:t>
      </w:r>
      <w:hyperlink w:anchor="ref22" w:history="1">
        <w:r>
          <w:rPr>
            <w:color w:val="0563C1"/>
            <w:u w:val="single"/>
          </w:rPr>
          <w:t>[22]</w:t>
        </w:r>
      </w:hyperlink>
      <w:r>
        <w:t>.</w:t>
      </w:r>
    </w:p>
    <w:p w14:paraId="74B64160" w14:textId="77777777" w:rsidR="00AE08D6" w:rsidRDefault="00AE08D6">
      <w:pPr>
        <w:spacing w:before="60"/>
      </w:pPr>
    </w:p>
    <w:p w14:paraId="0EF6FC8F" w14:textId="77777777" w:rsidR="00AE08D6" w:rsidRDefault="00000000">
      <w:pPr>
        <w:ind w:firstLine="567"/>
        <w:jc w:val="both"/>
      </w:pPr>
      <w:r>
        <w:t xml:space="preserve">All images were annotated using the </w:t>
      </w:r>
      <w:proofErr w:type="spellStart"/>
      <w:r>
        <w:t>Roboflow</w:t>
      </w:r>
      <w:proofErr w:type="spellEnd"/>
      <w:r>
        <w:t xml:space="preserve"> platform, which provides a web-based graphical annotation interface supporting bounding box labelling with class assignment </w:t>
      </w:r>
      <w:hyperlink w:anchor="ref10" w:history="1">
        <w:r>
          <w:rPr>
            <w:color w:val="0563C1"/>
            <w:u w:val="single"/>
          </w:rPr>
          <w:t>[10]</w:t>
        </w:r>
      </w:hyperlink>
      <w:r>
        <w:t xml:space="preserve">. For each image, a single bounding box was manually drawn around the region encompassing the signing hand or hands, and the corresponding gesture class label was assigned. </w:t>
      </w:r>
      <w:proofErr w:type="spellStart"/>
      <w:r>
        <w:t>Roboflow's</w:t>
      </w:r>
      <w:proofErr w:type="spellEnd"/>
      <w:r>
        <w:t xml:space="preserve"> annotation quality assurance tools, including consistency checks and class distribution analytics, were used throughout the labelling process. The completed dataset was exported from </w:t>
      </w:r>
      <w:proofErr w:type="spellStart"/>
      <w:r>
        <w:t>Roboflow</w:t>
      </w:r>
      <w:proofErr w:type="spellEnd"/>
      <w:r>
        <w:t xml:space="preserve"> in the YOLO annotation format, representing each bounding box as a normalized text record of the class index and box </w:t>
      </w:r>
      <w:proofErr w:type="spellStart"/>
      <w:r>
        <w:t>centre</w:t>
      </w:r>
      <w:proofErr w:type="spellEnd"/>
      <w:r>
        <w:t xml:space="preserve"> coordinates, width, and height as fractions of the image dimensions </w:t>
      </w:r>
      <w:hyperlink w:anchor="ref10" w:history="1">
        <w:r>
          <w:rPr>
            <w:color w:val="0563C1"/>
            <w:u w:val="single"/>
          </w:rPr>
          <w:t>[10]</w:t>
        </w:r>
      </w:hyperlink>
      <w:r>
        <w:t xml:space="preserve">. The dataset was partitioned into training and test subsets at a 90:10 ratio with stratified sampling to ensure proportional class representation, as </w:t>
      </w:r>
      <w:proofErr w:type="spellStart"/>
      <w:r>
        <w:t>summarised</w:t>
      </w:r>
      <w:proofErr w:type="spellEnd"/>
      <w:r>
        <w:t xml:space="preserve"> in Table I.</w:t>
      </w:r>
    </w:p>
    <w:p w14:paraId="3443B704" w14:textId="77777777" w:rsidR="00AE08D6" w:rsidRDefault="00AE08D6">
      <w:pPr>
        <w:spacing w:before="80"/>
      </w:pPr>
    </w:p>
    <w:p w14:paraId="24D0EFB8" w14:textId="77777777" w:rsidR="00AE08D6" w:rsidRDefault="00000000">
      <w:pPr>
        <w:spacing w:before="80" w:after="30"/>
        <w:jc w:val="center"/>
      </w:pPr>
      <w:r>
        <w:rPr>
          <w:b/>
          <w:bCs/>
          <w:caps/>
          <w:sz w:val="20"/>
          <w:szCs w:val="20"/>
        </w:rPr>
        <w:t>TABLE I</w:t>
      </w:r>
    </w:p>
    <w:p w14:paraId="7E892275" w14:textId="77777777" w:rsidR="00AE08D6" w:rsidRDefault="00000000">
      <w:pPr>
        <w:pStyle w:val="FigureCaption"/>
        <w:spacing w:before="30" w:after="60"/>
      </w:pPr>
      <w:r>
        <w:t>Dataset Distribution Across Gesture Classes and Data Splits</w:t>
      </w:r>
    </w:p>
    <w:tbl>
      <w:tblPr>
        <w:tblW w:w="4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757"/>
        <w:gridCol w:w="720"/>
        <w:gridCol w:w="900"/>
        <w:gridCol w:w="1063"/>
      </w:tblGrid>
      <w:tr w:rsidR="00505E13" w14:paraId="04D96E32" w14:textId="77777777" w:rsidTr="00505E13">
        <w:tblPrEx>
          <w:tblCellMar>
            <w:top w:w="0" w:type="dxa"/>
            <w:bottom w:w="0" w:type="dxa"/>
          </w:tblCellMar>
        </w:tblPrEx>
        <w:trPr>
          <w:trHeight w:val="450"/>
        </w:trPr>
        <w:tc>
          <w:tcPr>
            <w:tcW w:w="858"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6DFBE0AE" w14:textId="77777777" w:rsidR="00AE08D6" w:rsidRDefault="00000000">
            <w:r>
              <w:rPr>
                <w:b/>
                <w:bCs/>
                <w:sz w:val="20"/>
                <w:szCs w:val="20"/>
              </w:rPr>
              <w:t>Gesture Class</w:t>
            </w:r>
          </w:p>
        </w:tc>
        <w:tc>
          <w:tcPr>
            <w:tcW w:w="757"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72E76EEA" w14:textId="77777777" w:rsidR="00AE08D6" w:rsidRDefault="00000000">
            <w:pPr>
              <w:jc w:val="center"/>
            </w:pPr>
            <w:r>
              <w:rPr>
                <w:b/>
                <w:bCs/>
                <w:sz w:val="20"/>
                <w:szCs w:val="20"/>
              </w:rPr>
              <w:t>Train</w:t>
            </w:r>
          </w:p>
        </w:tc>
        <w:tc>
          <w:tcPr>
            <w:tcW w:w="720"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33970304" w14:textId="77777777" w:rsidR="00AE08D6" w:rsidRDefault="00000000">
            <w:pPr>
              <w:jc w:val="center"/>
            </w:pPr>
            <w:r>
              <w:rPr>
                <w:b/>
                <w:bCs/>
                <w:sz w:val="20"/>
                <w:szCs w:val="20"/>
              </w:rPr>
              <w:t>Test</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435B7B9B" w14:textId="77777777" w:rsidR="00AE08D6" w:rsidRDefault="00000000">
            <w:pPr>
              <w:jc w:val="center"/>
            </w:pPr>
            <w:r>
              <w:rPr>
                <w:b/>
                <w:bCs/>
                <w:sz w:val="20"/>
                <w:szCs w:val="20"/>
              </w:rPr>
              <w:t>Total</w:t>
            </w:r>
          </w:p>
        </w:tc>
        <w:tc>
          <w:tcPr>
            <w:tcW w:w="1063"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27A1CA45" w14:textId="77777777" w:rsidR="00AE08D6" w:rsidRDefault="00000000" w:rsidP="00505E13">
            <w:r>
              <w:rPr>
                <w:b/>
                <w:bCs/>
                <w:sz w:val="20"/>
                <w:szCs w:val="20"/>
              </w:rPr>
              <w:t>% Share</w:t>
            </w:r>
          </w:p>
        </w:tc>
      </w:tr>
      <w:tr w:rsidR="00505E13" w14:paraId="093F1539" w14:textId="77777777" w:rsidTr="00505E13">
        <w:tblPrEx>
          <w:tblCellMar>
            <w:top w:w="0" w:type="dxa"/>
            <w:bottom w:w="0" w:type="dxa"/>
          </w:tblCellMar>
        </w:tblPrEx>
        <w:trPr>
          <w:trHeight w:val="450"/>
        </w:trPr>
        <w:tc>
          <w:tcPr>
            <w:tcW w:w="85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24651F53" w14:textId="77777777" w:rsidR="00AE08D6" w:rsidRDefault="00000000">
            <w:r>
              <w:rPr>
                <w:sz w:val="20"/>
                <w:szCs w:val="20"/>
              </w:rPr>
              <w:t>Good Luck</w:t>
            </w:r>
          </w:p>
        </w:tc>
        <w:tc>
          <w:tcPr>
            <w:tcW w:w="75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566F7E9B" w14:textId="77777777" w:rsidR="00AE08D6" w:rsidRDefault="00000000">
            <w:pPr>
              <w:jc w:val="center"/>
            </w:pPr>
            <w:r>
              <w:rPr>
                <w:sz w:val="20"/>
                <w:szCs w:val="20"/>
              </w:rPr>
              <w:t>680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E58D6C7" w14:textId="77777777" w:rsidR="00AE08D6" w:rsidRDefault="00000000">
            <w:pPr>
              <w:jc w:val="center"/>
            </w:pPr>
            <w:r>
              <w:rPr>
                <w:sz w:val="20"/>
                <w:szCs w:val="20"/>
              </w:rPr>
              <w:t>85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1345B4D" w14:textId="77777777" w:rsidR="00AE08D6" w:rsidRDefault="00000000">
            <w:pPr>
              <w:jc w:val="center"/>
            </w:pPr>
            <w:r>
              <w:rPr>
                <w:sz w:val="20"/>
                <w:szCs w:val="20"/>
              </w:rPr>
              <w:t>765</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509F45A1" w14:textId="77777777" w:rsidR="00AE08D6" w:rsidRDefault="00000000" w:rsidP="00505E13">
            <w:r>
              <w:rPr>
                <w:sz w:val="20"/>
                <w:szCs w:val="20"/>
              </w:rPr>
              <w:t>10.9%</w:t>
            </w:r>
          </w:p>
        </w:tc>
      </w:tr>
      <w:tr w:rsidR="00505E13" w14:paraId="5AA47485" w14:textId="77777777" w:rsidTr="00505E13">
        <w:tblPrEx>
          <w:tblCellMar>
            <w:top w:w="0" w:type="dxa"/>
            <w:bottom w:w="0" w:type="dxa"/>
          </w:tblCellMar>
        </w:tblPrEx>
        <w:trPr>
          <w:trHeight w:val="220"/>
        </w:trPr>
        <w:tc>
          <w:tcPr>
            <w:tcW w:w="858"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541DE194" w14:textId="77777777" w:rsidR="00AE08D6" w:rsidRDefault="00000000">
            <w:r>
              <w:rPr>
                <w:sz w:val="20"/>
                <w:szCs w:val="20"/>
              </w:rPr>
              <w:t>Hello</w:t>
            </w:r>
          </w:p>
        </w:tc>
        <w:tc>
          <w:tcPr>
            <w:tcW w:w="75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963DB9C" w14:textId="77777777" w:rsidR="00AE08D6" w:rsidRDefault="00000000">
            <w:pPr>
              <w:jc w:val="center"/>
            </w:pPr>
            <w:r>
              <w:rPr>
                <w:sz w:val="20"/>
                <w:szCs w:val="20"/>
              </w:rPr>
              <w:t>810</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6ECB847" w14:textId="77777777" w:rsidR="00AE08D6" w:rsidRDefault="00000000">
            <w:pPr>
              <w:jc w:val="center"/>
            </w:pPr>
            <w:r>
              <w:rPr>
                <w:sz w:val="20"/>
                <w:szCs w:val="20"/>
              </w:rPr>
              <w:t>90</w:t>
            </w:r>
          </w:p>
        </w:tc>
        <w:tc>
          <w:tcPr>
            <w:tcW w:w="90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62665601" w14:textId="77777777" w:rsidR="00AE08D6" w:rsidRDefault="00000000">
            <w:pPr>
              <w:jc w:val="center"/>
            </w:pPr>
            <w:r>
              <w:rPr>
                <w:sz w:val="20"/>
                <w:szCs w:val="20"/>
              </w:rPr>
              <w:t>900</w:t>
            </w:r>
          </w:p>
        </w:tc>
        <w:tc>
          <w:tcPr>
            <w:tcW w:w="106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0AFE58E1" w14:textId="77777777" w:rsidR="00AE08D6" w:rsidRDefault="00000000" w:rsidP="00505E13">
            <w:r>
              <w:rPr>
                <w:sz w:val="20"/>
                <w:szCs w:val="20"/>
              </w:rPr>
              <w:t>12.9%</w:t>
            </w:r>
          </w:p>
        </w:tc>
      </w:tr>
      <w:tr w:rsidR="00505E13" w14:paraId="7410362F" w14:textId="77777777" w:rsidTr="00505E13">
        <w:tblPrEx>
          <w:tblCellMar>
            <w:top w:w="0" w:type="dxa"/>
            <w:bottom w:w="0" w:type="dxa"/>
          </w:tblCellMar>
        </w:tblPrEx>
        <w:trPr>
          <w:trHeight w:val="450"/>
        </w:trPr>
        <w:tc>
          <w:tcPr>
            <w:tcW w:w="85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721708C6" w14:textId="77777777" w:rsidR="00AE08D6" w:rsidRDefault="00000000">
            <w:r>
              <w:rPr>
                <w:sz w:val="20"/>
                <w:szCs w:val="20"/>
              </w:rPr>
              <w:t>I Love You</w:t>
            </w:r>
          </w:p>
        </w:tc>
        <w:tc>
          <w:tcPr>
            <w:tcW w:w="75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78B89ACC" w14:textId="77777777" w:rsidR="00AE08D6" w:rsidRDefault="00000000">
            <w:pPr>
              <w:jc w:val="center"/>
            </w:pPr>
            <w:r>
              <w:rPr>
                <w:sz w:val="20"/>
                <w:szCs w:val="20"/>
              </w:rPr>
              <w:t>792</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5D178283" w14:textId="77777777" w:rsidR="00AE08D6" w:rsidRDefault="00000000">
            <w:pPr>
              <w:jc w:val="center"/>
            </w:pPr>
            <w:r>
              <w:rPr>
                <w:sz w:val="20"/>
                <w:szCs w:val="20"/>
              </w:rPr>
              <w:t>88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69F6C5E9" w14:textId="77777777" w:rsidR="00AE08D6" w:rsidRDefault="00000000">
            <w:pPr>
              <w:jc w:val="center"/>
            </w:pPr>
            <w:r>
              <w:rPr>
                <w:sz w:val="20"/>
                <w:szCs w:val="20"/>
              </w:rPr>
              <w:t>880</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3B13722F" w14:textId="77777777" w:rsidR="00AE08D6" w:rsidRDefault="00000000" w:rsidP="00505E13">
            <w:r>
              <w:rPr>
                <w:sz w:val="20"/>
                <w:szCs w:val="20"/>
              </w:rPr>
              <w:t>12.6%</w:t>
            </w:r>
          </w:p>
        </w:tc>
      </w:tr>
      <w:tr w:rsidR="00505E13" w14:paraId="105B2A21" w14:textId="77777777" w:rsidTr="00505E13">
        <w:tblPrEx>
          <w:tblCellMar>
            <w:top w:w="0" w:type="dxa"/>
            <w:bottom w:w="0" w:type="dxa"/>
          </w:tblCellMar>
        </w:tblPrEx>
        <w:trPr>
          <w:trHeight w:val="220"/>
        </w:trPr>
        <w:tc>
          <w:tcPr>
            <w:tcW w:w="858"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CFBA35C" w14:textId="77777777" w:rsidR="00AE08D6" w:rsidRDefault="00000000">
            <w:r>
              <w:rPr>
                <w:sz w:val="20"/>
                <w:szCs w:val="20"/>
              </w:rPr>
              <w:t>No</w:t>
            </w:r>
          </w:p>
        </w:tc>
        <w:tc>
          <w:tcPr>
            <w:tcW w:w="75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4CB6C4AE" w14:textId="77777777" w:rsidR="00AE08D6" w:rsidRDefault="00000000">
            <w:pPr>
              <w:jc w:val="center"/>
            </w:pPr>
            <w:r>
              <w:rPr>
                <w:sz w:val="20"/>
                <w:szCs w:val="20"/>
              </w:rPr>
              <w:t>828</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AA43343" w14:textId="77777777" w:rsidR="00AE08D6" w:rsidRDefault="00000000">
            <w:pPr>
              <w:jc w:val="center"/>
            </w:pPr>
            <w:r>
              <w:rPr>
                <w:sz w:val="20"/>
                <w:szCs w:val="20"/>
              </w:rPr>
              <w:t>92</w:t>
            </w:r>
          </w:p>
        </w:tc>
        <w:tc>
          <w:tcPr>
            <w:tcW w:w="90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84F41F8" w14:textId="77777777" w:rsidR="00AE08D6" w:rsidRDefault="00000000">
            <w:pPr>
              <w:jc w:val="center"/>
            </w:pPr>
            <w:r>
              <w:rPr>
                <w:sz w:val="20"/>
                <w:szCs w:val="20"/>
              </w:rPr>
              <w:t>920</w:t>
            </w:r>
          </w:p>
        </w:tc>
        <w:tc>
          <w:tcPr>
            <w:tcW w:w="106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03A29C84" w14:textId="77777777" w:rsidR="00AE08D6" w:rsidRDefault="00000000" w:rsidP="00505E13">
            <w:r>
              <w:rPr>
                <w:sz w:val="20"/>
                <w:szCs w:val="20"/>
              </w:rPr>
              <w:t>13.2%</w:t>
            </w:r>
          </w:p>
        </w:tc>
      </w:tr>
      <w:tr w:rsidR="00505E13" w14:paraId="47D7276B" w14:textId="77777777" w:rsidTr="00505E13">
        <w:tblPrEx>
          <w:tblCellMar>
            <w:top w:w="0" w:type="dxa"/>
            <w:bottom w:w="0" w:type="dxa"/>
          </w:tblCellMar>
        </w:tblPrEx>
        <w:trPr>
          <w:trHeight w:val="220"/>
        </w:trPr>
        <w:tc>
          <w:tcPr>
            <w:tcW w:w="85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146BF3FB" w14:textId="77777777" w:rsidR="00AE08D6" w:rsidRDefault="00000000">
            <w:r>
              <w:rPr>
                <w:sz w:val="20"/>
                <w:szCs w:val="20"/>
              </w:rPr>
              <w:t>Please</w:t>
            </w:r>
          </w:p>
        </w:tc>
        <w:tc>
          <w:tcPr>
            <w:tcW w:w="75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C7B9C4F" w14:textId="77777777" w:rsidR="00AE08D6" w:rsidRDefault="00000000">
            <w:pPr>
              <w:jc w:val="center"/>
            </w:pPr>
            <w:r>
              <w:rPr>
                <w:sz w:val="20"/>
                <w:szCs w:val="20"/>
              </w:rPr>
              <w:t>774</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7D28380B" w14:textId="77777777" w:rsidR="00AE08D6" w:rsidRDefault="00000000">
            <w:pPr>
              <w:jc w:val="center"/>
            </w:pPr>
            <w:r>
              <w:rPr>
                <w:sz w:val="20"/>
                <w:szCs w:val="20"/>
              </w:rPr>
              <w:t>86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AFB0ACA" w14:textId="77777777" w:rsidR="00AE08D6" w:rsidRDefault="00000000">
            <w:pPr>
              <w:jc w:val="center"/>
            </w:pPr>
            <w:r>
              <w:rPr>
                <w:sz w:val="20"/>
                <w:szCs w:val="20"/>
              </w:rPr>
              <w:t>860</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5BD9A68C" w14:textId="77777777" w:rsidR="00AE08D6" w:rsidRDefault="00000000" w:rsidP="00505E13">
            <w:r>
              <w:rPr>
                <w:sz w:val="20"/>
                <w:szCs w:val="20"/>
              </w:rPr>
              <w:t>12.3%</w:t>
            </w:r>
          </w:p>
        </w:tc>
      </w:tr>
      <w:tr w:rsidR="00505E13" w14:paraId="71212587" w14:textId="77777777" w:rsidTr="00505E13">
        <w:tblPrEx>
          <w:tblCellMar>
            <w:top w:w="0" w:type="dxa"/>
            <w:bottom w:w="0" w:type="dxa"/>
          </w:tblCellMar>
        </w:tblPrEx>
        <w:trPr>
          <w:trHeight w:val="450"/>
        </w:trPr>
        <w:tc>
          <w:tcPr>
            <w:tcW w:w="858"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410168E" w14:textId="77777777" w:rsidR="00AE08D6" w:rsidRDefault="00000000">
            <w:r>
              <w:rPr>
                <w:sz w:val="20"/>
                <w:szCs w:val="20"/>
              </w:rPr>
              <w:t>Thank You</w:t>
            </w:r>
          </w:p>
        </w:tc>
        <w:tc>
          <w:tcPr>
            <w:tcW w:w="75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83E0188" w14:textId="77777777" w:rsidR="00AE08D6" w:rsidRDefault="00000000">
            <w:pPr>
              <w:jc w:val="center"/>
            </w:pPr>
            <w:r>
              <w:rPr>
                <w:sz w:val="20"/>
                <w:szCs w:val="20"/>
              </w:rPr>
              <w:t>819</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DCD7DDF" w14:textId="77777777" w:rsidR="00AE08D6" w:rsidRDefault="00000000">
            <w:pPr>
              <w:jc w:val="center"/>
            </w:pPr>
            <w:r>
              <w:rPr>
                <w:sz w:val="20"/>
                <w:szCs w:val="20"/>
              </w:rPr>
              <w:t>91</w:t>
            </w:r>
          </w:p>
        </w:tc>
        <w:tc>
          <w:tcPr>
            <w:tcW w:w="90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6F62A814" w14:textId="77777777" w:rsidR="00AE08D6" w:rsidRDefault="00000000">
            <w:pPr>
              <w:jc w:val="center"/>
            </w:pPr>
            <w:r>
              <w:rPr>
                <w:sz w:val="20"/>
                <w:szCs w:val="20"/>
              </w:rPr>
              <w:t>910</w:t>
            </w:r>
          </w:p>
        </w:tc>
        <w:tc>
          <w:tcPr>
            <w:tcW w:w="106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36D6FFD3" w14:textId="77777777" w:rsidR="00AE08D6" w:rsidRDefault="00000000" w:rsidP="00505E13">
            <w:r>
              <w:rPr>
                <w:sz w:val="20"/>
                <w:szCs w:val="20"/>
              </w:rPr>
              <w:t>13.0%</w:t>
            </w:r>
          </w:p>
        </w:tc>
      </w:tr>
      <w:tr w:rsidR="00505E13" w14:paraId="3BB7AC40" w14:textId="77777777" w:rsidTr="00505E13">
        <w:tblPrEx>
          <w:tblCellMar>
            <w:top w:w="0" w:type="dxa"/>
            <w:bottom w:w="0" w:type="dxa"/>
          </w:tblCellMar>
        </w:tblPrEx>
        <w:trPr>
          <w:trHeight w:val="450"/>
        </w:trPr>
        <w:tc>
          <w:tcPr>
            <w:tcW w:w="85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1FA9B11E" w14:textId="77777777" w:rsidR="00AE08D6" w:rsidRDefault="00000000">
            <w:r>
              <w:rPr>
                <w:sz w:val="20"/>
                <w:szCs w:val="20"/>
              </w:rPr>
              <w:t>Thumbs Up</w:t>
            </w:r>
          </w:p>
        </w:tc>
        <w:tc>
          <w:tcPr>
            <w:tcW w:w="75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4BFC9627" w14:textId="77777777" w:rsidR="00AE08D6" w:rsidRDefault="00000000">
            <w:pPr>
              <w:jc w:val="center"/>
            </w:pPr>
            <w:r>
              <w:rPr>
                <w:sz w:val="20"/>
                <w:szCs w:val="20"/>
              </w:rPr>
              <w:t>801</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3419303C" w14:textId="77777777" w:rsidR="00AE08D6" w:rsidRDefault="00000000">
            <w:pPr>
              <w:jc w:val="center"/>
            </w:pPr>
            <w:r>
              <w:rPr>
                <w:sz w:val="20"/>
                <w:szCs w:val="20"/>
              </w:rPr>
              <w:t>89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455C2E03" w14:textId="77777777" w:rsidR="00AE08D6" w:rsidRDefault="00000000">
            <w:pPr>
              <w:jc w:val="center"/>
            </w:pPr>
            <w:r>
              <w:rPr>
                <w:sz w:val="20"/>
                <w:szCs w:val="20"/>
              </w:rPr>
              <w:t>890</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7C5DF61D" w14:textId="77777777" w:rsidR="00AE08D6" w:rsidRDefault="00000000" w:rsidP="00505E13">
            <w:r>
              <w:rPr>
                <w:sz w:val="20"/>
                <w:szCs w:val="20"/>
              </w:rPr>
              <w:t>12.7%</w:t>
            </w:r>
          </w:p>
        </w:tc>
      </w:tr>
      <w:tr w:rsidR="00505E13" w14:paraId="4A7B9DFC" w14:textId="77777777" w:rsidTr="00505E13">
        <w:tblPrEx>
          <w:tblCellMar>
            <w:top w:w="0" w:type="dxa"/>
            <w:bottom w:w="0" w:type="dxa"/>
          </w:tblCellMar>
        </w:tblPrEx>
        <w:trPr>
          <w:trHeight w:val="220"/>
        </w:trPr>
        <w:tc>
          <w:tcPr>
            <w:tcW w:w="858"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057D484" w14:textId="77777777" w:rsidR="00AE08D6" w:rsidRDefault="00000000">
            <w:r>
              <w:rPr>
                <w:sz w:val="20"/>
                <w:szCs w:val="20"/>
              </w:rPr>
              <w:t>Yes</w:t>
            </w:r>
          </w:p>
        </w:tc>
        <w:tc>
          <w:tcPr>
            <w:tcW w:w="75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4808773" w14:textId="77777777" w:rsidR="00AE08D6" w:rsidRDefault="00000000">
            <w:pPr>
              <w:jc w:val="center"/>
            </w:pPr>
            <w:r>
              <w:rPr>
                <w:sz w:val="20"/>
                <w:szCs w:val="20"/>
              </w:rPr>
              <w:t>783</w:t>
            </w:r>
          </w:p>
        </w:tc>
        <w:tc>
          <w:tcPr>
            <w:tcW w:w="72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1D902CC" w14:textId="77777777" w:rsidR="00AE08D6" w:rsidRDefault="00000000">
            <w:pPr>
              <w:jc w:val="center"/>
            </w:pPr>
            <w:r>
              <w:rPr>
                <w:sz w:val="20"/>
                <w:szCs w:val="20"/>
              </w:rPr>
              <w:t>87</w:t>
            </w:r>
          </w:p>
        </w:tc>
        <w:tc>
          <w:tcPr>
            <w:tcW w:w="900"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D4D128B" w14:textId="77777777" w:rsidR="00AE08D6" w:rsidRDefault="00000000">
            <w:pPr>
              <w:jc w:val="center"/>
            </w:pPr>
            <w:r>
              <w:rPr>
                <w:sz w:val="20"/>
                <w:szCs w:val="20"/>
              </w:rPr>
              <w:t>870</w:t>
            </w:r>
          </w:p>
        </w:tc>
        <w:tc>
          <w:tcPr>
            <w:tcW w:w="106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30CD2E72" w14:textId="7BFD9566" w:rsidR="00AE08D6" w:rsidRDefault="00000000" w:rsidP="00505E13">
            <w:r>
              <w:rPr>
                <w:sz w:val="20"/>
                <w:szCs w:val="20"/>
              </w:rPr>
              <w:t>12.4%</w:t>
            </w:r>
          </w:p>
        </w:tc>
      </w:tr>
      <w:tr w:rsidR="00505E13" w14:paraId="6C132C9C" w14:textId="77777777" w:rsidTr="00505E13">
        <w:tblPrEx>
          <w:tblCellMar>
            <w:top w:w="0" w:type="dxa"/>
            <w:bottom w:w="0" w:type="dxa"/>
          </w:tblCellMar>
        </w:tblPrEx>
        <w:trPr>
          <w:trHeight w:val="220"/>
        </w:trPr>
        <w:tc>
          <w:tcPr>
            <w:tcW w:w="858"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368ACD5" w14:textId="77777777" w:rsidR="00AE08D6" w:rsidRDefault="00000000">
            <w:r>
              <w:rPr>
                <w:b/>
                <w:bCs/>
                <w:sz w:val="20"/>
                <w:szCs w:val="20"/>
              </w:rPr>
              <w:t>Total</w:t>
            </w:r>
          </w:p>
        </w:tc>
        <w:tc>
          <w:tcPr>
            <w:tcW w:w="75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61BB2A83" w14:textId="77777777" w:rsidR="00AE08D6" w:rsidRDefault="00000000">
            <w:pPr>
              <w:jc w:val="center"/>
            </w:pPr>
            <w:r>
              <w:rPr>
                <w:b/>
                <w:bCs/>
                <w:sz w:val="20"/>
                <w:szCs w:val="20"/>
              </w:rPr>
              <w:t>6,287</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645ADA33" w14:textId="77777777" w:rsidR="00AE08D6" w:rsidRDefault="00000000">
            <w:pPr>
              <w:jc w:val="center"/>
            </w:pPr>
            <w:r>
              <w:rPr>
                <w:b/>
                <w:bCs/>
                <w:sz w:val="20"/>
                <w:szCs w:val="20"/>
              </w:rPr>
              <w:t>708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C71C4FA" w14:textId="77777777" w:rsidR="00AE08D6" w:rsidRDefault="00000000">
            <w:pPr>
              <w:jc w:val="center"/>
            </w:pPr>
            <w:r>
              <w:rPr>
                <w:b/>
                <w:bCs/>
                <w:sz w:val="20"/>
                <w:szCs w:val="20"/>
              </w:rPr>
              <w:t>6,995</w:t>
            </w:r>
          </w:p>
        </w:tc>
        <w:tc>
          <w:tcPr>
            <w:tcW w:w="106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39E5442" w14:textId="77777777" w:rsidR="00AE08D6" w:rsidRDefault="00000000" w:rsidP="00505E13">
            <w:r>
              <w:rPr>
                <w:b/>
                <w:bCs/>
                <w:sz w:val="20"/>
                <w:szCs w:val="20"/>
              </w:rPr>
              <w:t>100%</w:t>
            </w:r>
          </w:p>
        </w:tc>
      </w:tr>
    </w:tbl>
    <w:p w14:paraId="36A34533" w14:textId="77777777" w:rsidR="00AE08D6" w:rsidRDefault="00AE08D6">
      <w:pPr>
        <w:spacing w:before="100"/>
      </w:pPr>
    </w:p>
    <w:p w14:paraId="30A277FD" w14:textId="77777777" w:rsidR="00AE08D6" w:rsidRDefault="00000000">
      <w:pPr>
        <w:ind w:firstLine="567"/>
        <w:jc w:val="both"/>
      </w:pPr>
      <w:r>
        <w:t xml:space="preserve">To mitigate overfitting and expand the effective training corpus, </w:t>
      </w:r>
      <w:proofErr w:type="spellStart"/>
      <w:r>
        <w:t>Roboflow's</w:t>
      </w:r>
      <w:proofErr w:type="spellEnd"/>
      <w:r>
        <w:t xml:space="preserve"> online augmentation pipeline was configured to apply stochastic image transformations during training set generation </w:t>
      </w:r>
      <w:hyperlink w:anchor="ref10" w:history="1">
        <w:r>
          <w:rPr>
            <w:color w:val="0563C1"/>
            <w:u w:val="single"/>
          </w:rPr>
          <w:t>[10]</w:t>
        </w:r>
      </w:hyperlink>
      <w:r>
        <w:t xml:space="preserve">. Applied augmentations included random horizontal flipping with a probability of 0.5, random rotation within ±15°, random brightness perturbation with a multiplicative scale factor in [0.7, 1.3], random exposure adjustment in [−15%, +15%], and random blur with kernel radius in [0, 1.5] pixels. All augmentation operations were applied exclusively to the training subset; the test partition was evaluated on original </w:t>
      </w:r>
      <w:proofErr w:type="spellStart"/>
      <w:r>
        <w:t>unaugmented</w:t>
      </w:r>
      <w:proofErr w:type="spellEnd"/>
      <w:r>
        <w:t xml:space="preserve"> images to provide an unbiased estimate of generalization performance </w:t>
      </w:r>
      <w:hyperlink w:anchor="ref22" w:history="1">
        <w:r>
          <w:rPr>
            <w:color w:val="0563C1"/>
            <w:u w:val="single"/>
          </w:rPr>
          <w:t>[22]</w:t>
        </w:r>
      </w:hyperlink>
      <w:r>
        <w:t xml:space="preserve">, </w:t>
      </w:r>
      <w:hyperlink w:anchor="ref8" w:history="1">
        <w:r>
          <w:rPr>
            <w:color w:val="0563C1"/>
            <w:u w:val="single"/>
          </w:rPr>
          <w:t>[8]</w:t>
        </w:r>
      </w:hyperlink>
      <w:r>
        <w:t>.</w:t>
      </w:r>
    </w:p>
    <w:p w14:paraId="63E2032B" w14:textId="77777777" w:rsidR="00AE08D6" w:rsidRDefault="00000000">
      <w:pPr>
        <w:pStyle w:val="Heading2"/>
      </w:pPr>
      <w:r>
        <w:t>C. Model Training</w:t>
      </w:r>
    </w:p>
    <w:p w14:paraId="70A075CA" w14:textId="77777777" w:rsidR="00AE08D6" w:rsidRDefault="00000000">
      <w:pPr>
        <w:ind w:firstLine="567"/>
        <w:jc w:val="both"/>
      </w:pPr>
      <w:r>
        <w:t xml:space="preserve">The gesture recognition model was built on the YOLOv8 architecture developed and maintained by </w:t>
      </w:r>
      <w:proofErr w:type="spellStart"/>
      <w:r>
        <w:t>Ultralytics</w:t>
      </w:r>
      <w:proofErr w:type="spellEnd"/>
      <w:r>
        <w:t xml:space="preserve"> </w:t>
      </w:r>
      <w:hyperlink w:anchor="ref9" w:history="1">
        <w:r>
          <w:rPr>
            <w:color w:val="0563C1"/>
            <w:u w:val="single"/>
          </w:rPr>
          <w:t>[9]</w:t>
        </w:r>
      </w:hyperlink>
      <w:r>
        <w:t xml:space="preserve">. YOLOv8 is a single-stage object detection framework that reformulates detection as a dense spatial prediction problem, simultaneously predicting bounding box offsets and class probability distributions from a spatial grid in a single forward pass of the network, without the latency overhead of a separate region proposal stage </w:t>
      </w:r>
      <w:hyperlink w:anchor="ref9" w:history="1">
        <w:r>
          <w:rPr>
            <w:color w:val="0563C1"/>
            <w:u w:val="single"/>
          </w:rPr>
          <w:t>[9]</w:t>
        </w:r>
      </w:hyperlink>
      <w:r>
        <w:t xml:space="preserve">, </w:t>
      </w:r>
      <w:hyperlink w:anchor="ref18" w:history="1">
        <w:r>
          <w:rPr>
            <w:color w:val="0563C1"/>
            <w:u w:val="single"/>
          </w:rPr>
          <w:t>[18]</w:t>
        </w:r>
      </w:hyperlink>
      <w:r>
        <w:t xml:space="preserve">. The YOLOv8 architecture comprises three principal components: a CSP-based backbone feature extraction network that produces multi-scale feature maps, a PAN-FPN neck module that fuses features across spatial scales, and an anchor-free detection head that performs class and box prediction directly from the fused feature representation. The anchor-free head predicts box offsets relative to grid cell </w:t>
      </w:r>
      <w:proofErr w:type="spellStart"/>
      <w:r>
        <w:t>centres</w:t>
      </w:r>
      <w:proofErr w:type="spellEnd"/>
      <w:r>
        <w:t xml:space="preserve"> rather than pre-defined anchor boxes, simplifying the training loss formulation and improving generalization to gestures with atypical aspect ratios </w:t>
      </w:r>
      <w:hyperlink w:anchor="ref9" w:history="1">
        <w:r>
          <w:rPr>
            <w:color w:val="0563C1"/>
            <w:u w:val="single"/>
          </w:rPr>
          <w:t>[9]</w:t>
        </w:r>
      </w:hyperlink>
      <w:r>
        <w:t>.</w:t>
      </w:r>
    </w:p>
    <w:p w14:paraId="56D3B92C" w14:textId="77777777" w:rsidR="00AE08D6" w:rsidRDefault="00AE08D6">
      <w:pPr>
        <w:spacing w:before="60"/>
      </w:pPr>
    </w:p>
    <w:p w14:paraId="1373B151" w14:textId="38AB8960" w:rsidR="00AE08D6" w:rsidRDefault="00000000">
      <w:pPr>
        <w:ind w:firstLine="567"/>
        <w:jc w:val="both"/>
      </w:pPr>
      <w:r>
        <w:t xml:space="preserve">Model training was performed in a Python development environment managed through Visual Studio Code using the </w:t>
      </w:r>
      <w:proofErr w:type="spellStart"/>
      <w:r>
        <w:t>Ultralytics</w:t>
      </w:r>
      <w:proofErr w:type="spellEnd"/>
      <w:r>
        <w:t xml:space="preserve"> YOLOv8 Python package. The </w:t>
      </w:r>
      <w:proofErr w:type="spellStart"/>
      <w:r>
        <w:t>Roboflow</w:t>
      </w:r>
      <w:proofErr w:type="spellEnd"/>
      <w:r>
        <w:t xml:space="preserve">-exported YOLO format dataset was supplied directly to the </w:t>
      </w:r>
      <w:proofErr w:type="spellStart"/>
      <w:r>
        <w:t>Ultralytics</w:t>
      </w:r>
      <w:proofErr w:type="spellEnd"/>
      <w:r>
        <w:t xml:space="preserve"> training API. The model was initialized with weights pre-trained on the MS COCO benchmark to leverage generic low-level visual feature representations learned from large-scale data, and subsequently fine-tuned on the custom </w:t>
      </w:r>
      <w:r>
        <w:lastRenderedPageBreak/>
        <w:t xml:space="preserve">gesture dataset through transfer learning with all network layers unfrozen </w:t>
      </w:r>
      <w:hyperlink w:anchor="ref22" w:history="1">
        <w:r>
          <w:rPr>
            <w:color w:val="0563C1"/>
            <w:u w:val="single"/>
          </w:rPr>
          <w:t>[22]</w:t>
        </w:r>
      </w:hyperlink>
      <w:r>
        <w:t xml:space="preserve">. Training was conducted using the Adam optimizer </w:t>
      </w:r>
      <w:hyperlink w:anchor="ref23" w:history="1">
        <w:r>
          <w:rPr>
            <w:color w:val="0563C1"/>
            <w:u w:val="single"/>
          </w:rPr>
          <w:t>[23]</w:t>
        </w:r>
      </w:hyperlink>
      <w:r>
        <w:t xml:space="preserve"> with an initial learning rate of 0.001, reduced following a cosine annealing decay schedule over 100 epochs. A batch size of 16 was employed. Training and validation metric curves are visualized in Fig. 2, and the complete training configuration is </w:t>
      </w:r>
      <w:r w:rsidR="00575B2F">
        <w:t>summarized</w:t>
      </w:r>
      <w:r>
        <w:t xml:space="preserve"> in Table II.</w:t>
      </w:r>
    </w:p>
    <w:p w14:paraId="58662C38" w14:textId="1B0EBD24" w:rsidR="00AE08D6" w:rsidRDefault="00505E13">
      <w:pPr>
        <w:spacing w:before="80"/>
      </w:pPr>
      <w:r>
        <w:rPr>
          <w:noProof/>
        </w:rPr>
        <w:drawing>
          <wp:inline distT="0" distB="0" distL="0" distR="0" wp14:anchorId="71BDDF48" wp14:editId="58F4FE09">
            <wp:extent cx="2794000" cy="1574800"/>
            <wp:effectExtent l="0" t="0" r="6350" b="6350"/>
            <wp:docPr id="1608787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4000" cy="1574800"/>
                    </a:xfrm>
                    <a:prstGeom prst="rect">
                      <a:avLst/>
                    </a:prstGeom>
                    <a:noFill/>
                    <a:ln>
                      <a:noFill/>
                    </a:ln>
                  </pic:spPr>
                </pic:pic>
              </a:graphicData>
            </a:graphic>
          </wp:inline>
        </w:drawing>
      </w:r>
    </w:p>
    <w:p w14:paraId="4369321C" w14:textId="77777777" w:rsidR="00AE08D6" w:rsidRDefault="00000000">
      <w:pPr>
        <w:pStyle w:val="FigureCaption"/>
        <w:spacing w:before="80"/>
      </w:pPr>
      <w:r>
        <w:t>Fig. 2.  YOLOv8 training curves over 100 epochs showing training and validation box loss, classification loss, precision, recall, and mAP@0.5.</w:t>
      </w:r>
    </w:p>
    <w:p w14:paraId="35B42D9F" w14:textId="77777777" w:rsidR="00AE08D6" w:rsidRDefault="00AE08D6">
      <w:pPr>
        <w:spacing w:before="80"/>
      </w:pPr>
    </w:p>
    <w:p w14:paraId="5C46F13F" w14:textId="77777777" w:rsidR="00AE08D6" w:rsidRDefault="00000000">
      <w:pPr>
        <w:spacing w:before="80" w:after="30"/>
        <w:jc w:val="center"/>
      </w:pPr>
      <w:r>
        <w:rPr>
          <w:b/>
          <w:bCs/>
          <w:caps/>
          <w:sz w:val="20"/>
          <w:szCs w:val="20"/>
        </w:rPr>
        <w:t>TABLE II</w:t>
      </w:r>
    </w:p>
    <w:p w14:paraId="28A1D87A" w14:textId="77777777" w:rsidR="00AE08D6" w:rsidRDefault="00000000">
      <w:pPr>
        <w:pStyle w:val="FigureCaption"/>
        <w:spacing w:before="30" w:after="60"/>
      </w:pPr>
      <w:r>
        <w:t>YOLOv8 Training Configuration and Hyperparameters</w:t>
      </w:r>
    </w:p>
    <w:tbl>
      <w:tblPr>
        <w:tblW w:w="4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2925"/>
      </w:tblGrid>
      <w:tr w:rsidR="00AE08D6" w14:paraId="3928E443"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63FA8AF2" w14:textId="77777777" w:rsidR="00AE08D6" w:rsidRDefault="00000000">
            <w:r>
              <w:rPr>
                <w:b/>
                <w:bCs/>
                <w:sz w:val="20"/>
                <w:szCs w:val="20"/>
              </w:rPr>
              <w:t>Parameter</w:t>
            </w:r>
          </w:p>
        </w:tc>
        <w:tc>
          <w:tcPr>
            <w:tcW w:w="3013" w:type="dxa"/>
            <w:tcBorders>
              <w:top w:val="single" w:sz="4" w:space="0" w:color="000000"/>
              <w:left w:val="single" w:sz="4" w:space="0" w:color="000000"/>
              <w:bottom w:val="single" w:sz="4" w:space="0" w:color="000000"/>
              <w:right w:val="single" w:sz="4" w:space="0" w:color="000000"/>
            </w:tcBorders>
            <w:shd w:val="clear" w:color="auto" w:fill="D0D0D0"/>
            <w:tcMar>
              <w:top w:w="55" w:type="dxa"/>
              <w:left w:w="90" w:type="dxa"/>
              <w:bottom w:w="55" w:type="dxa"/>
              <w:right w:w="90" w:type="dxa"/>
            </w:tcMar>
          </w:tcPr>
          <w:p w14:paraId="1DB162D2" w14:textId="77777777" w:rsidR="00AE08D6" w:rsidRDefault="00000000">
            <w:pPr>
              <w:jc w:val="center"/>
            </w:pPr>
            <w:r>
              <w:rPr>
                <w:b/>
                <w:bCs/>
                <w:sz w:val="20"/>
                <w:szCs w:val="20"/>
              </w:rPr>
              <w:t>Value</w:t>
            </w:r>
          </w:p>
        </w:tc>
      </w:tr>
      <w:tr w:rsidR="00AE08D6" w14:paraId="3D59BAF4"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70C9AD3D" w14:textId="77777777" w:rsidR="00AE08D6" w:rsidRDefault="00000000">
            <w:r>
              <w:rPr>
                <w:sz w:val="20"/>
                <w:szCs w:val="20"/>
              </w:rPr>
              <w:t>Model Architecture</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407E145" w14:textId="77777777" w:rsidR="00AE08D6" w:rsidRDefault="00000000">
            <w:pPr>
              <w:jc w:val="center"/>
            </w:pPr>
            <w:r>
              <w:rPr>
                <w:sz w:val="20"/>
                <w:szCs w:val="20"/>
              </w:rPr>
              <w:t>YOLOv8 (</w:t>
            </w:r>
            <w:proofErr w:type="spellStart"/>
            <w:r>
              <w:rPr>
                <w:sz w:val="20"/>
                <w:szCs w:val="20"/>
              </w:rPr>
              <w:t>Ultralytics</w:t>
            </w:r>
            <w:proofErr w:type="spellEnd"/>
            <w:r>
              <w:rPr>
                <w:sz w:val="20"/>
                <w:szCs w:val="20"/>
              </w:rPr>
              <w:t>)</w:t>
            </w:r>
          </w:p>
        </w:tc>
      </w:tr>
      <w:tr w:rsidR="00AE08D6" w14:paraId="7E4F173F"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366606E5" w14:textId="77777777" w:rsidR="00AE08D6" w:rsidRDefault="00000000">
            <w:r>
              <w:rPr>
                <w:sz w:val="20"/>
                <w:szCs w:val="20"/>
              </w:rPr>
              <w:t>Pre-training Dataset</w:t>
            </w:r>
          </w:p>
        </w:tc>
        <w:tc>
          <w:tcPr>
            <w:tcW w:w="301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03235A62" w14:textId="77777777" w:rsidR="00AE08D6" w:rsidRDefault="00000000">
            <w:pPr>
              <w:jc w:val="center"/>
            </w:pPr>
            <w:r>
              <w:rPr>
                <w:sz w:val="20"/>
                <w:szCs w:val="20"/>
              </w:rPr>
              <w:t>MS COCO</w:t>
            </w:r>
          </w:p>
        </w:tc>
      </w:tr>
      <w:tr w:rsidR="00AE08D6" w14:paraId="48C3D32B"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3B3BCE31" w14:textId="77777777" w:rsidR="00AE08D6" w:rsidRDefault="00000000">
            <w:r>
              <w:rPr>
                <w:sz w:val="20"/>
                <w:szCs w:val="20"/>
              </w:rPr>
              <w:t>Training Environment</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061F36A" w14:textId="77777777" w:rsidR="00AE08D6" w:rsidRDefault="00000000">
            <w:pPr>
              <w:jc w:val="center"/>
            </w:pPr>
            <w:r>
              <w:rPr>
                <w:sz w:val="20"/>
                <w:szCs w:val="20"/>
              </w:rPr>
              <w:t>VS Code + Python</w:t>
            </w:r>
          </w:p>
        </w:tc>
      </w:tr>
      <w:tr w:rsidR="00AE08D6" w14:paraId="0C744922"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B88F22A" w14:textId="77777777" w:rsidR="00AE08D6" w:rsidRDefault="00000000">
            <w:r>
              <w:rPr>
                <w:sz w:val="20"/>
                <w:szCs w:val="20"/>
              </w:rPr>
              <w:t>Input Resolution</w:t>
            </w:r>
          </w:p>
        </w:tc>
        <w:tc>
          <w:tcPr>
            <w:tcW w:w="301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6FBEF971" w14:textId="77777777" w:rsidR="00AE08D6" w:rsidRDefault="00000000">
            <w:pPr>
              <w:jc w:val="center"/>
            </w:pPr>
            <w:r>
              <w:rPr>
                <w:sz w:val="20"/>
                <w:szCs w:val="20"/>
              </w:rPr>
              <w:t>224 × 224 pixels</w:t>
            </w:r>
          </w:p>
        </w:tc>
      </w:tr>
      <w:tr w:rsidR="00AE08D6" w14:paraId="74B5F95B"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6426522D" w14:textId="77777777" w:rsidR="00AE08D6" w:rsidRDefault="00000000">
            <w:r>
              <w:rPr>
                <w:sz w:val="20"/>
                <w:szCs w:val="20"/>
              </w:rPr>
              <w:t>Number of Classes</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2D2B645C" w14:textId="77777777" w:rsidR="00AE08D6" w:rsidRDefault="00000000">
            <w:pPr>
              <w:jc w:val="center"/>
            </w:pPr>
            <w:r>
              <w:rPr>
                <w:sz w:val="20"/>
                <w:szCs w:val="20"/>
              </w:rPr>
              <w:t>8</w:t>
            </w:r>
          </w:p>
        </w:tc>
      </w:tr>
      <w:tr w:rsidR="00AE08D6" w14:paraId="137EED55"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042C1365" w14:textId="77777777" w:rsidR="00AE08D6" w:rsidRDefault="00000000">
            <w:r>
              <w:rPr>
                <w:sz w:val="20"/>
                <w:szCs w:val="20"/>
              </w:rPr>
              <w:t>Annotation Format</w:t>
            </w:r>
          </w:p>
        </w:tc>
        <w:tc>
          <w:tcPr>
            <w:tcW w:w="301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9F0BC92" w14:textId="77777777" w:rsidR="00AE08D6" w:rsidRDefault="00000000">
            <w:pPr>
              <w:jc w:val="center"/>
            </w:pPr>
            <w:r>
              <w:rPr>
                <w:sz w:val="20"/>
                <w:szCs w:val="20"/>
              </w:rPr>
              <w:t>YOLO (</w:t>
            </w:r>
            <w:proofErr w:type="spellStart"/>
            <w:r>
              <w:rPr>
                <w:sz w:val="20"/>
                <w:szCs w:val="20"/>
              </w:rPr>
              <w:t>Roboflow</w:t>
            </w:r>
            <w:proofErr w:type="spellEnd"/>
            <w:r>
              <w:rPr>
                <w:sz w:val="20"/>
                <w:szCs w:val="20"/>
              </w:rPr>
              <w:t xml:space="preserve"> export)</w:t>
            </w:r>
          </w:p>
        </w:tc>
      </w:tr>
      <w:tr w:rsidR="00AE08D6" w14:paraId="47D450DA"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7638384" w14:textId="77777777" w:rsidR="00AE08D6" w:rsidRDefault="00000000">
            <w:r>
              <w:rPr>
                <w:sz w:val="20"/>
                <w:szCs w:val="20"/>
              </w:rPr>
              <w:t>Optimizer</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FB903D2" w14:textId="77777777" w:rsidR="00AE08D6" w:rsidRDefault="00000000">
            <w:pPr>
              <w:jc w:val="center"/>
            </w:pPr>
            <w:r>
              <w:rPr>
                <w:sz w:val="20"/>
                <w:szCs w:val="20"/>
              </w:rPr>
              <w:t>Adam</w:t>
            </w:r>
          </w:p>
        </w:tc>
      </w:tr>
      <w:tr w:rsidR="00AE08D6" w14:paraId="35128F8D"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372E9290" w14:textId="77777777" w:rsidR="00AE08D6" w:rsidRDefault="00000000">
            <w:r>
              <w:rPr>
                <w:sz w:val="20"/>
                <w:szCs w:val="20"/>
              </w:rPr>
              <w:t>Initial Learning Rate</w:t>
            </w:r>
          </w:p>
        </w:tc>
        <w:tc>
          <w:tcPr>
            <w:tcW w:w="301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0B97036" w14:textId="77777777" w:rsidR="00AE08D6" w:rsidRDefault="00000000">
            <w:pPr>
              <w:jc w:val="center"/>
            </w:pPr>
            <w:r>
              <w:rPr>
                <w:sz w:val="20"/>
                <w:szCs w:val="20"/>
              </w:rPr>
              <w:t>0.001</w:t>
            </w:r>
          </w:p>
        </w:tc>
      </w:tr>
      <w:tr w:rsidR="00AE08D6" w14:paraId="68DDEA6C"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2419D616" w14:textId="77777777" w:rsidR="00AE08D6" w:rsidRDefault="00000000">
            <w:r>
              <w:rPr>
                <w:sz w:val="20"/>
                <w:szCs w:val="20"/>
              </w:rPr>
              <w:t>LR Schedule</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0E36D6DF" w14:textId="77777777" w:rsidR="00AE08D6" w:rsidRDefault="00000000">
            <w:pPr>
              <w:jc w:val="center"/>
            </w:pPr>
            <w:r>
              <w:rPr>
                <w:sz w:val="20"/>
                <w:szCs w:val="20"/>
              </w:rPr>
              <w:t>Cosine Annealing</w:t>
            </w:r>
          </w:p>
        </w:tc>
      </w:tr>
      <w:tr w:rsidR="00AE08D6" w14:paraId="333D77C2"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24772108" w14:textId="77777777" w:rsidR="00AE08D6" w:rsidRDefault="00000000">
            <w:r>
              <w:rPr>
                <w:sz w:val="20"/>
                <w:szCs w:val="20"/>
              </w:rPr>
              <w:t>Batch Size</w:t>
            </w:r>
          </w:p>
        </w:tc>
        <w:tc>
          <w:tcPr>
            <w:tcW w:w="301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093AE3AF" w14:textId="77777777" w:rsidR="00AE08D6" w:rsidRDefault="00000000">
            <w:pPr>
              <w:jc w:val="center"/>
            </w:pPr>
            <w:r>
              <w:rPr>
                <w:sz w:val="20"/>
                <w:szCs w:val="20"/>
              </w:rPr>
              <w:t>16</w:t>
            </w:r>
          </w:p>
        </w:tc>
      </w:tr>
      <w:tr w:rsidR="00AE08D6" w14:paraId="42A7BD2F"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58281661" w14:textId="77777777" w:rsidR="00AE08D6" w:rsidRDefault="00000000">
            <w:r>
              <w:rPr>
                <w:sz w:val="20"/>
                <w:szCs w:val="20"/>
              </w:rPr>
              <w:t>Training Epochs</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14EF7D54" w14:textId="77777777" w:rsidR="00AE08D6" w:rsidRDefault="00000000">
            <w:pPr>
              <w:jc w:val="center"/>
            </w:pPr>
            <w:r>
              <w:rPr>
                <w:sz w:val="20"/>
                <w:szCs w:val="20"/>
              </w:rPr>
              <w:t>100</w:t>
            </w:r>
          </w:p>
        </w:tc>
      </w:tr>
      <w:tr w:rsidR="00AE08D6" w14:paraId="572EC623"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38117A5C" w14:textId="77777777" w:rsidR="00AE08D6" w:rsidRDefault="00000000">
            <w:r>
              <w:rPr>
                <w:sz w:val="20"/>
                <w:szCs w:val="20"/>
              </w:rPr>
              <w:t>Gradient Clipping</w:t>
            </w:r>
          </w:p>
        </w:tc>
        <w:tc>
          <w:tcPr>
            <w:tcW w:w="3013" w:type="dxa"/>
            <w:tcBorders>
              <w:top w:val="single" w:sz="4" w:space="0" w:color="000000"/>
              <w:left w:val="single" w:sz="4" w:space="0" w:color="000000"/>
              <w:bottom w:val="single" w:sz="4" w:space="0" w:color="000000"/>
              <w:right w:val="single" w:sz="4" w:space="0" w:color="000000"/>
            </w:tcBorders>
            <w:shd w:val="clear" w:color="auto" w:fill="F4F4F4"/>
            <w:tcMar>
              <w:top w:w="55" w:type="dxa"/>
              <w:left w:w="90" w:type="dxa"/>
              <w:bottom w:w="55" w:type="dxa"/>
              <w:right w:w="90" w:type="dxa"/>
            </w:tcMar>
          </w:tcPr>
          <w:p w14:paraId="118FDD70" w14:textId="77777777" w:rsidR="00AE08D6" w:rsidRDefault="00000000">
            <w:pPr>
              <w:jc w:val="center"/>
            </w:pPr>
            <w:r>
              <w:rPr>
                <w:sz w:val="20"/>
                <w:szCs w:val="20"/>
              </w:rPr>
              <w:t>10.0 (max norm)</w:t>
            </w:r>
          </w:p>
        </w:tc>
      </w:tr>
      <w:tr w:rsidR="00AE08D6" w14:paraId="389DF80F" w14:textId="77777777" w:rsidTr="00505E13">
        <w:tblPrEx>
          <w:tblCellMar>
            <w:top w:w="0" w:type="dxa"/>
            <w:bottom w:w="0" w:type="dxa"/>
          </w:tblCellMar>
        </w:tblPrEx>
        <w:trPr>
          <w:trHeight w:val="214"/>
        </w:trPr>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38740C40" w14:textId="77777777" w:rsidR="00AE08D6" w:rsidRDefault="00000000">
            <w:r>
              <w:rPr>
                <w:sz w:val="20"/>
                <w:szCs w:val="20"/>
              </w:rPr>
              <w:t>Evaluation Metrics</w:t>
            </w:r>
          </w:p>
        </w:tc>
        <w:tc>
          <w:tcPr>
            <w:tcW w:w="30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90" w:type="dxa"/>
              <w:bottom w:w="55" w:type="dxa"/>
              <w:right w:w="90" w:type="dxa"/>
            </w:tcMar>
          </w:tcPr>
          <w:p w14:paraId="5706BD6E" w14:textId="77777777" w:rsidR="00AE08D6" w:rsidRDefault="00000000">
            <w:pPr>
              <w:jc w:val="center"/>
            </w:pPr>
            <w:r>
              <w:rPr>
                <w:sz w:val="20"/>
                <w:szCs w:val="20"/>
              </w:rPr>
              <w:t>Precision, Recall, mAP@0.5</w:t>
            </w:r>
          </w:p>
        </w:tc>
      </w:tr>
    </w:tbl>
    <w:p w14:paraId="1F421BC9" w14:textId="77777777" w:rsidR="00AE08D6" w:rsidRDefault="00AE08D6">
      <w:pPr>
        <w:spacing w:before="100"/>
      </w:pPr>
    </w:p>
    <w:p w14:paraId="4630BAAC" w14:textId="77777777" w:rsidR="00AE08D6" w:rsidRDefault="00000000">
      <w:pPr>
        <w:ind w:firstLine="567"/>
        <w:jc w:val="both"/>
      </w:pPr>
      <w:r>
        <w:t xml:space="preserve">Model performance was monitored by evaluating three standard object detection metrics on the test partition at each epoch: precision (fraction of predicted positive detections that are true positives), recall (fraction of ground truth positives correctly detected), and mean Average Precision at </w:t>
      </w:r>
      <w:proofErr w:type="spellStart"/>
      <w:r>
        <w:t>IoU</w:t>
      </w:r>
      <w:proofErr w:type="spellEnd"/>
      <w:r>
        <w:t xml:space="preserve"> threshold 0.5 (mAP@0.5), which aggregates per-class detection performance by computing the area under the precision-recall curve for each class and averaging over all eight classes </w:t>
      </w:r>
      <w:hyperlink w:anchor="ref18" w:history="1">
        <w:r>
          <w:rPr>
            <w:color w:val="0563C1"/>
            <w:u w:val="single"/>
          </w:rPr>
          <w:t>[18]</w:t>
        </w:r>
      </w:hyperlink>
      <w:r>
        <w:t>. The checkpoint achieving the highest mAP@0.5 was selected as the final model for conversion.</w:t>
      </w:r>
    </w:p>
    <w:p w14:paraId="56762B5B" w14:textId="77777777" w:rsidR="00AE08D6" w:rsidRDefault="00000000">
      <w:pPr>
        <w:pStyle w:val="Heading2"/>
      </w:pPr>
      <w:r>
        <w:t>D. Model Conversion and Deployment</w:t>
      </w:r>
    </w:p>
    <w:p w14:paraId="0E6A17DB" w14:textId="77777777" w:rsidR="00AE08D6" w:rsidRDefault="00000000">
      <w:pPr>
        <w:ind w:firstLine="567"/>
        <w:jc w:val="both"/>
      </w:pPr>
      <w:r>
        <w:t xml:space="preserve">Deployment of the trained YOLOv8 model on Android hardware requires conversion from the native </w:t>
      </w:r>
      <w:proofErr w:type="spellStart"/>
      <w:r>
        <w:t>PyTorch</w:t>
      </w:r>
      <w:proofErr w:type="spellEnd"/>
      <w:r>
        <w:t xml:space="preserve"> representation to the TensorFlow Lite </w:t>
      </w:r>
      <w:proofErr w:type="gramStart"/>
      <w:r>
        <w:t>(.</w:t>
      </w:r>
      <w:proofErr w:type="spellStart"/>
      <w:r>
        <w:t>tflite</w:t>
      </w:r>
      <w:proofErr w:type="spellEnd"/>
      <w:proofErr w:type="gramEnd"/>
      <w:r>
        <w:t xml:space="preserve">) binary format supported by the </w:t>
      </w:r>
      <w:proofErr w:type="spellStart"/>
      <w:r>
        <w:t>tflite_flutter</w:t>
      </w:r>
      <w:proofErr w:type="spellEnd"/>
      <w:r>
        <w:t xml:space="preserve"> inference package </w:t>
      </w:r>
      <w:hyperlink w:anchor="ref11" w:history="1">
        <w:r>
          <w:rPr>
            <w:color w:val="0563C1"/>
            <w:u w:val="single"/>
          </w:rPr>
          <w:t>[11]</w:t>
        </w:r>
      </w:hyperlink>
      <w:r>
        <w:t xml:space="preserve">. TensorFlow Lite was chosen as the target runtime for three reasons: its highly optimized mobile inference engine incorporates Android Neural Networks API (NNAPI) and ARM NEON SIMD acceleration; its post-training quantization support reduces model binary size and accelerates integer-optimized inference on mobile CPUs; and its on-device execution model is fully compatible with the offline operation requirement of </w:t>
      </w:r>
      <w:proofErr w:type="spellStart"/>
      <w:r>
        <w:t>SignaSpeech</w:t>
      </w:r>
      <w:proofErr w:type="spellEnd"/>
      <w:r>
        <w:t xml:space="preserve"> </w:t>
      </w:r>
      <w:hyperlink w:anchor="ref11" w:history="1">
        <w:r>
          <w:rPr>
            <w:color w:val="0563C1"/>
            <w:u w:val="single"/>
          </w:rPr>
          <w:t>[11]</w:t>
        </w:r>
      </w:hyperlink>
      <w:r>
        <w:t xml:space="preserve">, </w:t>
      </w:r>
      <w:hyperlink w:anchor="ref7" w:history="1">
        <w:r>
          <w:rPr>
            <w:color w:val="0563C1"/>
            <w:u w:val="single"/>
          </w:rPr>
          <w:t>[7]</w:t>
        </w:r>
      </w:hyperlink>
      <w:r>
        <w:t>.</w:t>
      </w:r>
    </w:p>
    <w:p w14:paraId="1721DF37" w14:textId="77777777" w:rsidR="00AE08D6" w:rsidRDefault="00AE08D6">
      <w:pPr>
        <w:spacing w:before="60"/>
      </w:pPr>
    </w:p>
    <w:p w14:paraId="097CEC5E" w14:textId="42F0B443" w:rsidR="00AE08D6" w:rsidRDefault="00000000">
      <w:pPr>
        <w:ind w:firstLine="567"/>
        <w:jc w:val="both"/>
      </w:pPr>
      <w:r>
        <w:t xml:space="preserve">The conversion was performed in three sequential stages. In the first stage, the trained </w:t>
      </w:r>
      <w:proofErr w:type="spellStart"/>
      <w:r>
        <w:t>PyTorch</w:t>
      </w:r>
      <w:proofErr w:type="spellEnd"/>
      <w:r>
        <w:t xml:space="preserve"> model was exported to the Open Neural Network Exchange (ONNX) intermediate representation using the </w:t>
      </w:r>
      <w:proofErr w:type="spellStart"/>
      <w:r>
        <w:t>Ultralytics</w:t>
      </w:r>
      <w:proofErr w:type="spellEnd"/>
      <w:r>
        <w:t xml:space="preserve"> built-in export utility, which invokes </w:t>
      </w:r>
      <w:proofErr w:type="spellStart"/>
      <w:proofErr w:type="gramStart"/>
      <w:r>
        <w:t>torch.onnx</w:t>
      </w:r>
      <w:proofErr w:type="gramEnd"/>
      <w:r>
        <w:t>.export</w:t>
      </w:r>
      <w:proofErr w:type="spellEnd"/>
      <w:r>
        <w:t xml:space="preserve"> with ONNX </w:t>
      </w:r>
      <w:proofErr w:type="spellStart"/>
      <w:r>
        <w:t>opset</w:t>
      </w:r>
      <w:proofErr w:type="spellEnd"/>
      <w:r>
        <w:t xml:space="preserve"> version 12, supplying a dummy input tensor of shape [1, 3, 224, 224] to enable static shape inference [24]. In the second stage, the ONNX model was converted to a TensorFlow </w:t>
      </w:r>
      <w:proofErr w:type="spellStart"/>
      <w:r>
        <w:t>SavedModel</w:t>
      </w:r>
      <w:proofErr w:type="spellEnd"/>
      <w:r>
        <w:t xml:space="preserve"> using the </w:t>
      </w:r>
      <w:proofErr w:type="spellStart"/>
      <w:r>
        <w:t>onnx-tf</w:t>
      </w:r>
      <w:proofErr w:type="spellEnd"/>
      <w:r>
        <w:t xml:space="preserve"> library, which translates ONNX operators to TensorFlow equivalents [24]. In the third stage, the </w:t>
      </w:r>
      <w:r w:rsidR="009A2F64">
        <w:t>Saved Model</w:t>
      </w:r>
      <w:r>
        <w:t xml:space="preserve"> was compiled to </w:t>
      </w:r>
      <w:proofErr w:type="spellStart"/>
      <w:r>
        <w:t>TFLite</w:t>
      </w:r>
      <w:proofErr w:type="spellEnd"/>
      <w:r>
        <w:t xml:space="preserve"> </w:t>
      </w:r>
      <w:proofErr w:type="spellStart"/>
      <w:r>
        <w:t>flatbuffer</w:t>
      </w:r>
      <w:proofErr w:type="spellEnd"/>
      <w:r>
        <w:t xml:space="preserve"> format using the TensorFlow Lite Converter with post-training dynamic range quantization applied, reducing model weight representations from 32-bit float to 8-bit </w:t>
      </w:r>
      <w:r>
        <w:lastRenderedPageBreak/>
        <w:t xml:space="preserve">integer precision. This quantization reduces binary size by approximately 75% and improves CPU inference throughput with only minor accuracy degradation [11]. The </w:t>
      </w:r>
      <w:r w:rsidR="00505E13">
        <w:t xml:space="preserve">resulting. </w:t>
      </w:r>
      <w:proofErr w:type="spellStart"/>
      <w:r w:rsidR="00505E13">
        <w:t>tflite</w:t>
      </w:r>
      <w:proofErr w:type="spellEnd"/>
      <w:r>
        <w:t xml:space="preserve"> binary was bundled into the Flutter application asset directory.</w:t>
      </w:r>
    </w:p>
    <w:p w14:paraId="18848C25" w14:textId="77777777" w:rsidR="00AE08D6" w:rsidRDefault="00000000">
      <w:pPr>
        <w:pStyle w:val="Heading2"/>
      </w:pPr>
      <w:r>
        <w:t>E. Image Preprocessing Pipeline</w:t>
      </w:r>
    </w:p>
    <w:p w14:paraId="3001318C" w14:textId="3612DBC3" w:rsidR="00AE08D6" w:rsidRDefault="00000000">
      <w:pPr>
        <w:ind w:firstLine="567"/>
        <w:jc w:val="both"/>
      </w:pPr>
      <w:r>
        <w:t xml:space="preserve">Each camera frame undergoes a deterministic three-step preprocessing pipeline implemented in the </w:t>
      </w:r>
      <w:r w:rsidR="008C7009">
        <w:t>Camera Service</w:t>
      </w:r>
      <w:r>
        <w:t xml:space="preserve"> and </w:t>
      </w:r>
      <w:r w:rsidR="008C7009">
        <w:t>Model Service</w:t>
      </w:r>
      <w:r>
        <w:t xml:space="preserve"> Flutter service classes. In the first step, the raw </w:t>
      </w:r>
      <w:r w:rsidR="008C7009">
        <w:t>Camera Image</w:t>
      </w:r>
      <w:r>
        <w:t xml:space="preserve"> YUV420 semi-planar frame is converted to a 24-bit RGB image using the ITU-R BT.601 </w:t>
      </w:r>
      <w:r w:rsidR="008C7009">
        <w:t>color</w:t>
      </w:r>
      <w:r>
        <w:t xml:space="preserve"> space transformation. The Y (luminance) plane provides one sample per pixel at full resolution; the U and V (chrominance) planes are sub-sampled at half horizontal and vertical resolution with each sample shared across a 2×2 luminance pixel block. The per-pixel transformation is given by:</w:t>
      </w:r>
    </w:p>
    <w:p w14:paraId="38D693FD" w14:textId="77777777" w:rsidR="00AE08D6" w:rsidRDefault="00AE08D6">
      <w:pPr>
        <w:spacing w:before="60"/>
      </w:pPr>
    </w:p>
    <w:p w14:paraId="1AF8195E" w14:textId="77777777" w:rsidR="00AE08D6" w:rsidRDefault="00000000">
      <w:pPr>
        <w:spacing w:before="30" w:after="15"/>
        <w:jc w:val="center"/>
      </w:pPr>
      <w:r>
        <w:rPr>
          <w:i/>
          <w:iCs/>
        </w:rPr>
        <w:t xml:space="preserve">R = </w:t>
      </w:r>
      <w:proofErr w:type="gramStart"/>
      <w:r>
        <w:rPr>
          <w:i/>
          <w:iCs/>
        </w:rPr>
        <w:t>clip( Y</w:t>
      </w:r>
      <w:proofErr w:type="gramEnd"/>
      <w:r>
        <w:rPr>
          <w:i/>
          <w:iCs/>
        </w:rPr>
        <w:t xml:space="preserve"> + 1.370705 × V′,  0, 255 )</w:t>
      </w:r>
    </w:p>
    <w:p w14:paraId="3AF1F76D" w14:textId="77777777" w:rsidR="00AE08D6" w:rsidRDefault="00000000">
      <w:pPr>
        <w:spacing w:after="15"/>
        <w:jc w:val="center"/>
      </w:pPr>
      <w:r>
        <w:rPr>
          <w:i/>
          <w:iCs/>
        </w:rPr>
        <w:t xml:space="preserve">G = </w:t>
      </w:r>
      <w:proofErr w:type="gramStart"/>
      <w:r>
        <w:rPr>
          <w:i/>
          <w:iCs/>
        </w:rPr>
        <w:t>clip( Y</w:t>
      </w:r>
      <w:proofErr w:type="gramEnd"/>
      <w:r>
        <w:rPr>
          <w:i/>
          <w:iCs/>
        </w:rPr>
        <w:t xml:space="preserve"> − 0.337633 × U′ − 0.698001 × V′,  0, 255 )</w:t>
      </w:r>
    </w:p>
    <w:p w14:paraId="6FADE6FD" w14:textId="77777777" w:rsidR="00AE08D6" w:rsidRDefault="00000000">
      <w:pPr>
        <w:spacing w:after="40"/>
        <w:jc w:val="center"/>
      </w:pPr>
      <w:r>
        <w:rPr>
          <w:i/>
          <w:iCs/>
        </w:rPr>
        <w:t xml:space="preserve">B = </w:t>
      </w:r>
      <w:proofErr w:type="gramStart"/>
      <w:r>
        <w:rPr>
          <w:i/>
          <w:iCs/>
        </w:rPr>
        <w:t>clip( Y</w:t>
      </w:r>
      <w:proofErr w:type="gramEnd"/>
      <w:r>
        <w:rPr>
          <w:i/>
          <w:iCs/>
        </w:rPr>
        <w:t xml:space="preserve"> + 1.732446 × U′,  0, 255 )</w:t>
      </w:r>
    </w:p>
    <w:p w14:paraId="7D83624E" w14:textId="77777777" w:rsidR="00AE08D6" w:rsidRDefault="00000000">
      <w:pPr>
        <w:ind w:firstLine="567"/>
        <w:jc w:val="both"/>
      </w:pPr>
      <w:r>
        <w:t xml:space="preserve">where U′ = U − 128 and V′ = V − 128 are the chrominance offsets. The implementation correctly uses the per-plane </w:t>
      </w:r>
      <w:proofErr w:type="spellStart"/>
      <w:r>
        <w:t>bytesPerRow</w:t>
      </w:r>
      <w:proofErr w:type="spellEnd"/>
      <w:r>
        <w:t xml:space="preserve"> and </w:t>
      </w:r>
      <w:proofErr w:type="spellStart"/>
      <w:r>
        <w:t>bytesPerPixel</w:t>
      </w:r>
      <w:proofErr w:type="spellEnd"/>
      <w:r>
        <w:t xml:space="preserve"> strides reported by the Camera2 API, which may differ from the frame width due to memory alignment requirements </w:t>
      </w:r>
      <w:hyperlink w:anchor="ref20" w:history="1">
        <w:r>
          <w:rPr>
            <w:color w:val="0563C1"/>
            <w:u w:val="single"/>
          </w:rPr>
          <w:t>[20]</w:t>
        </w:r>
      </w:hyperlink>
      <w:r>
        <w:t xml:space="preserve">. In the second step, the RGB image is spatially resampled to 224×224 pixels using bilinear interpolation. In the third step, pixel values are divided by 255.0 to normalize to [0, 1], serialized into a Float32List of 150,528 elements in NHWC order, and reshaped to the tensor shape [1, 224, 224, 3] required by the </w:t>
      </w:r>
      <w:proofErr w:type="spellStart"/>
      <w:r>
        <w:t>TFLite</w:t>
      </w:r>
      <w:proofErr w:type="spellEnd"/>
      <w:r>
        <w:t xml:space="preserve"> interpreter </w:t>
      </w:r>
      <w:hyperlink w:anchor="ref11" w:history="1">
        <w:r>
          <w:rPr>
            <w:color w:val="0563C1"/>
            <w:u w:val="single"/>
          </w:rPr>
          <w:t>[11]</w:t>
        </w:r>
      </w:hyperlink>
      <w:r>
        <w:t xml:space="preserve">, </w:t>
      </w:r>
      <w:hyperlink w:anchor="ref9" w:history="1">
        <w:r>
          <w:rPr>
            <w:color w:val="0563C1"/>
            <w:u w:val="single"/>
          </w:rPr>
          <w:t>[9]</w:t>
        </w:r>
      </w:hyperlink>
      <w:r>
        <w:t>.</w:t>
      </w:r>
    </w:p>
    <w:p w14:paraId="345F47D8" w14:textId="77777777" w:rsidR="00AE08D6" w:rsidRDefault="00000000">
      <w:pPr>
        <w:pStyle w:val="Heading2"/>
      </w:pPr>
      <w:r>
        <w:t>F. Real-Time Inference and System Integration</w:t>
      </w:r>
    </w:p>
    <w:p w14:paraId="4653E689" w14:textId="295032AE" w:rsidR="00AE08D6" w:rsidRDefault="00000000">
      <w:pPr>
        <w:ind w:firstLine="567"/>
        <w:jc w:val="both"/>
      </w:pPr>
      <w:r>
        <w:t xml:space="preserve">The real-time inference subsystem is organized across three Flutter service classes: </w:t>
      </w:r>
      <w:r w:rsidR="00575B2F">
        <w:t>Camera Service</w:t>
      </w:r>
      <w:r>
        <w:t xml:space="preserve"> (camera lifecycle and streaming), </w:t>
      </w:r>
      <w:r w:rsidR="008C7009">
        <w:t>Model Service</w:t>
      </w:r>
      <w:r>
        <w:t xml:space="preserve"> (</w:t>
      </w:r>
      <w:proofErr w:type="spellStart"/>
      <w:r>
        <w:t>TFLite</w:t>
      </w:r>
      <w:proofErr w:type="spellEnd"/>
      <w:r>
        <w:t xml:space="preserve"> inference), and </w:t>
      </w:r>
      <w:proofErr w:type="spellStart"/>
      <w:r>
        <w:t>TtsService</w:t>
      </w:r>
      <w:proofErr w:type="spellEnd"/>
      <w:r>
        <w:t xml:space="preserve"> (Text-to-Speech synthesis), composed within the </w:t>
      </w:r>
      <w:r w:rsidR="00575B2F">
        <w:t>Detection Screen</w:t>
      </w:r>
      <w:r>
        <w:t xml:space="preserve"> widget </w:t>
      </w:r>
      <w:hyperlink w:anchor="ref12" w:history="1">
        <w:r>
          <w:rPr>
            <w:color w:val="0563C1"/>
            <w:u w:val="single"/>
          </w:rPr>
          <w:t>[12]</w:t>
        </w:r>
      </w:hyperlink>
      <w:r>
        <w:t xml:space="preserve">. The camera controller is initialized with a medium resolution preset (640×480) and YUV420 format, delivering frames via the </w:t>
      </w:r>
      <w:proofErr w:type="spellStart"/>
      <w:proofErr w:type="gramStart"/>
      <w:r>
        <w:t>startImageStream</w:t>
      </w:r>
      <w:proofErr w:type="spellEnd"/>
      <w:r>
        <w:t>(</w:t>
      </w:r>
      <w:proofErr w:type="gramEnd"/>
      <w:r>
        <w:t>) callback at the device frame rate.</w:t>
      </w:r>
    </w:p>
    <w:p w14:paraId="1BBFF109" w14:textId="77777777" w:rsidR="00AE08D6" w:rsidRDefault="00AE08D6">
      <w:pPr>
        <w:spacing w:before="60"/>
      </w:pPr>
    </w:p>
    <w:p w14:paraId="2D8EA2E3" w14:textId="28A9ACC0" w:rsidR="00AE08D6" w:rsidRDefault="00000000">
      <w:pPr>
        <w:ind w:firstLine="567"/>
        <w:jc w:val="both"/>
      </w:pPr>
      <w:r>
        <w:t xml:space="preserve">A </w:t>
      </w:r>
      <w:r w:rsidR="00575B2F">
        <w:t>Date Time</w:t>
      </w:r>
      <w:r>
        <w:t xml:space="preserve">-based throttle gate is applied at the frame callback entry point, discarding frames whose inter-arrival interval is less than 300 milliseconds. This constrains the ML inference invocation rate to a maximum of approximately 3.3 frames per second while permitting the camera preview to render at the full device frame rate without inference-induced latency </w:t>
      </w:r>
      <w:hyperlink w:anchor="ref7" w:history="1">
        <w:r>
          <w:rPr>
            <w:color w:val="0563C1"/>
            <w:u w:val="single"/>
          </w:rPr>
          <w:t>[7]</w:t>
        </w:r>
      </w:hyperlink>
      <w:r>
        <w:t xml:space="preserve">, </w:t>
      </w:r>
      <w:hyperlink w:anchor="ref6" w:history="1">
        <w:r>
          <w:rPr>
            <w:color w:val="0563C1"/>
            <w:u w:val="single"/>
          </w:rPr>
          <w:t>[6]</w:t>
        </w:r>
      </w:hyperlink>
      <w:r>
        <w:t xml:space="preserve">. The </w:t>
      </w:r>
      <w:proofErr w:type="spellStart"/>
      <w:r>
        <w:t>TFLite</w:t>
      </w:r>
      <w:proofErr w:type="spellEnd"/>
      <w:r>
        <w:t xml:space="preserve"> interpreter is initialized with four CPU threads to maximize parallel computation on multi-core mobile processors </w:t>
      </w:r>
      <w:hyperlink w:anchor="ref11" w:history="1">
        <w:r>
          <w:rPr>
            <w:color w:val="0563C1"/>
            <w:u w:val="single"/>
          </w:rPr>
          <w:t>[11]</w:t>
        </w:r>
      </w:hyperlink>
      <w:r>
        <w:t>.</w:t>
      </w:r>
    </w:p>
    <w:p w14:paraId="540BB648" w14:textId="77777777" w:rsidR="00AE08D6" w:rsidRDefault="00AE08D6">
      <w:pPr>
        <w:spacing w:before="60"/>
      </w:pPr>
    </w:p>
    <w:p w14:paraId="605CBD7F" w14:textId="77777777" w:rsidR="00AE08D6" w:rsidRDefault="00000000">
      <w:pPr>
        <w:ind w:firstLine="567"/>
        <w:jc w:val="both"/>
      </w:pPr>
      <w:r>
        <w:t xml:space="preserve">A confidence threshold of 0.55 is applied to the output class probability vector, suppressing predictions whose maximum score falls below this value. If the threshold is satisfied, the winning class index is mapped to the corresponding gesture label from the bundled labels file. A temporal smoothing mechanism requires the same label to be predicted across four consecutive throttled inference frames before the TTS engine is activated, ensuring that a gesture must be sustained for a minimum of approximately 1.2 seconds before speech output is triggered. This mechanism substantially reduces spurious TTS activations from transient per-frame misclassifications </w:t>
      </w:r>
      <w:hyperlink w:anchor="ref5" w:history="1">
        <w:r>
          <w:rPr>
            <w:color w:val="0563C1"/>
            <w:u w:val="single"/>
          </w:rPr>
          <w:t>[5]</w:t>
        </w:r>
      </w:hyperlink>
      <w:r>
        <w:t xml:space="preserve">, </w:t>
      </w:r>
      <w:hyperlink w:anchor="ref17" w:history="1">
        <w:r>
          <w:rPr>
            <w:color w:val="0563C1"/>
            <w:u w:val="single"/>
          </w:rPr>
          <w:t>[17]</w:t>
        </w:r>
      </w:hyperlink>
      <w:r>
        <w:t xml:space="preserve">. The </w:t>
      </w:r>
      <w:proofErr w:type="spellStart"/>
      <w:r>
        <w:t>flutter_tts</w:t>
      </w:r>
      <w:proofErr w:type="spellEnd"/>
      <w:r>
        <w:t xml:space="preserve"> package is configured with the English (</w:t>
      </w:r>
      <w:proofErr w:type="spellStart"/>
      <w:r>
        <w:t>en</w:t>
      </w:r>
      <w:proofErr w:type="spellEnd"/>
      <w:r>
        <w:t xml:space="preserve">-US) locale, a speech rate of 0.45, and maximum volume, with an interrupt-and-replace policy for new predictions arriving during active speech synthesis </w:t>
      </w:r>
      <w:hyperlink w:anchor="ref12" w:history="1">
        <w:r>
          <w:rPr>
            <w:color w:val="0563C1"/>
            <w:u w:val="single"/>
          </w:rPr>
          <w:t>[12]</w:t>
        </w:r>
      </w:hyperlink>
      <w:r>
        <w:t>.</w:t>
      </w:r>
    </w:p>
    <w:p w14:paraId="60DEAD11" w14:textId="77777777" w:rsidR="00AE08D6" w:rsidRDefault="00AE08D6">
      <w:pPr>
        <w:spacing w:before="60"/>
      </w:pPr>
    </w:p>
    <w:p w14:paraId="59A24FA6" w14:textId="6C57720B" w:rsidR="00AE08D6" w:rsidRDefault="00000000">
      <w:pPr>
        <w:ind w:firstLine="567"/>
        <w:jc w:val="both"/>
      </w:pPr>
      <w:r>
        <w:t xml:space="preserve">Application lifecycle management is implemented via the </w:t>
      </w:r>
      <w:proofErr w:type="spellStart"/>
      <w:r>
        <w:t>WidgetsBindingObserver</w:t>
      </w:r>
      <w:proofErr w:type="spellEnd"/>
      <w:r>
        <w:t xml:space="preserve"> </w:t>
      </w:r>
      <w:proofErr w:type="spellStart"/>
      <w:r>
        <w:t>mixin</w:t>
      </w:r>
      <w:proofErr w:type="spellEnd"/>
      <w:r>
        <w:t xml:space="preserve">, which pauses the camera stream when the application enters the background and resumes it on foreground return. The </w:t>
      </w:r>
      <w:proofErr w:type="spellStart"/>
      <w:r>
        <w:t>TFLite</w:t>
      </w:r>
      <w:proofErr w:type="spellEnd"/>
      <w:r>
        <w:t xml:space="preserve"> interpreter and camera controller are explicitly disposed when the </w:t>
      </w:r>
      <w:r w:rsidR="008C7009">
        <w:t>Detection Screen</w:t>
      </w:r>
      <w:r>
        <w:t xml:space="preserve"> widget is removed from the widget tree, preventing memory leaks across long-running sessions [12].</w:t>
      </w:r>
    </w:p>
    <w:p w14:paraId="42D6716A" w14:textId="77777777" w:rsidR="00AE08D6" w:rsidRDefault="00000000">
      <w:pPr>
        <w:pStyle w:val="Heading2"/>
      </w:pPr>
      <w:r>
        <w:t>G. Performance Visualization</w:t>
      </w:r>
    </w:p>
    <w:p w14:paraId="37C9CEBE" w14:textId="080A62D4" w:rsidR="00AE08D6" w:rsidRDefault="00000000">
      <w:pPr>
        <w:ind w:firstLine="567"/>
        <w:jc w:val="both"/>
      </w:pPr>
      <w:r>
        <w:t xml:space="preserve">Two complementary visualizations are employed to provide a comprehensive per-class evaluation of the trained YOLOv8 model beyond the aggregate mAP@0.5 metric. The confusion matrix presented in Fig. 3 records, for each pair of ground truth and predicted classes, </w:t>
      </w:r>
      <w:r>
        <w:lastRenderedPageBreak/>
        <w:t xml:space="preserve">the number of test instances whose ground truth class is and whose predicted class is j </w:t>
      </w:r>
      <w:hyperlink w:anchor="ref18" w:history="1">
        <w:r>
          <w:rPr>
            <w:color w:val="0563C1"/>
            <w:u w:val="single"/>
          </w:rPr>
          <w:t>[18]</w:t>
        </w:r>
      </w:hyperlink>
      <w:r>
        <w:t>. Diagonal entries represent correctly classified instances, while off-diagonal entries reveal systematic inter-class confusion patterns. Analysis of the confusion matrix directly informs targeted data collection strategies for gesture pairs that the model finds difficult to distinguish.</w:t>
      </w:r>
    </w:p>
    <w:p w14:paraId="540D23B1" w14:textId="01E08292" w:rsidR="00AE08D6" w:rsidRDefault="00505E13">
      <w:pPr>
        <w:spacing w:before="80"/>
      </w:pPr>
      <w:r>
        <w:rPr>
          <w:noProof/>
        </w:rPr>
        <w:drawing>
          <wp:inline distT="0" distB="0" distL="0" distR="0" wp14:anchorId="7EE8CA40" wp14:editId="36717D7A">
            <wp:extent cx="2651760" cy="1988820"/>
            <wp:effectExtent l="0" t="0" r="0" b="0"/>
            <wp:docPr id="377471217"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71217" name="Picture 3" descr="A screenshot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1760" cy="1988820"/>
                    </a:xfrm>
                    <a:prstGeom prst="rect">
                      <a:avLst/>
                    </a:prstGeom>
                    <a:noFill/>
                    <a:ln>
                      <a:noFill/>
                    </a:ln>
                  </pic:spPr>
                </pic:pic>
              </a:graphicData>
            </a:graphic>
          </wp:inline>
        </w:drawing>
      </w:r>
    </w:p>
    <w:p w14:paraId="203D40F1" w14:textId="77777777" w:rsidR="00AE08D6" w:rsidRDefault="00000000">
      <w:pPr>
        <w:pStyle w:val="FigureCaption"/>
        <w:spacing w:before="80"/>
      </w:pPr>
      <w:r>
        <w:t>Fig. 3.  Normalized confusion matrix evaluated on the held-out test partition, illustrating per-class classification accuracy and inter-class confusion patterns across all eight gesture classes.</w:t>
      </w:r>
    </w:p>
    <w:p w14:paraId="68F111EC" w14:textId="77777777" w:rsidR="00AE08D6" w:rsidRDefault="00AE08D6">
      <w:pPr>
        <w:spacing w:before="80"/>
      </w:pPr>
    </w:p>
    <w:p w14:paraId="034989AB" w14:textId="77777777" w:rsidR="00AE08D6" w:rsidRDefault="00000000">
      <w:pPr>
        <w:ind w:firstLine="567"/>
        <w:jc w:val="both"/>
      </w:pPr>
      <w:r>
        <w:t xml:space="preserve">Fig. 4 presents representative qualitative detection results produced by the deployed YOLOv8 </w:t>
      </w:r>
      <w:proofErr w:type="spellStart"/>
      <w:r>
        <w:t>TFLite</w:t>
      </w:r>
      <w:proofErr w:type="spellEnd"/>
      <w:r>
        <w:t xml:space="preserve"> model on test images from each gesture class </w:t>
      </w:r>
      <w:hyperlink w:anchor="ref9" w:history="1">
        <w:r>
          <w:rPr>
            <w:color w:val="0563C1"/>
            <w:u w:val="single"/>
          </w:rPr>
          <w:t>[9]</w:t>
        </w:r>
      </w:hyperlink>
      <w:r>
        <w:t xml:space="preserve">. Each sample displays the predicted bounding box, class label, and confidence score. These examples confirm the model's spatial localization capability and illustrate performance characteristics under the range of lighting conditions and backgrounds present in the test partition. Cases of marginal confidence or misalignment identify the visual conditions under which the model's performance degrades and point to images that should be prioritized in future dataset expansion </w:t>
      </w:r>
      <w:hyperlink w:anchor="ref18" w:history="1">
        <w:r>
          <w:rPr>
            <w:color w:val="0563C1"/>
            <w:u w:val="single"/>
          </w:rPr>
          <w:t>[18]</w:t>
        </w:r>
      </w:hyperlink>
      <w:r>
        <w:t xml:space="preserve">, </w:t>
      </w:r>
      <w:hyperlink w:anchor="ref21" w:history="1">
        <w:r>
          <w:rPr>
            <w:color w:val="0563C1"/>
            <w:u w:val="single"/>
          </w:rPr>
          <w:t>[21]</w:t>
        </w:r>
      </w:hyperlink>
      <w:r>
        <w:t>.</w:t>
      </w:r>
    </w:p>
    <w:p w14:paraId="37330D0F" w14:textId="77777777" w:rsidR="00AE08D6" w:rsidRDefault="00AE08D6">
      <w:pPr>
        <w:spacing w:before="80"/>
      </w:pPr>
    </w:p>
    <w:p w14:paraId="3C88CB2C" w14:textId="77777777" w:rsidR="00AE08D6" w:rsidRDefault="00000000">
      <w:pPr>
        <w:pBdr>
          <w:top w:val="single" w:sz="6" w:space="4" w:color="AAAAAA"/>
          <w:bottom w:val="single" w:sz="6" w:space="4" w:color="AAAAAA"/>
        </w:pBdr>
        <w:spacing w:before="80"/>
        <w:jc w:val="center"/>
      </w:pPr>
      <w:r>
        <w:rPr>
          <w:i/>
          <w:iCs/>
          <w:color w:val="999999"/>
          <w:sz w:val="20"/>
          <w:szCs w:val="20"/>
        </w:rPr>
        <w:t xml:space="preserve">[ INSERT FIG. 4: Sample Detection Outputs — One per gesture class with bounding box, label, and confidence </w:t>
      </w:r>
      <w:proofErr w:type="gramStart"/>
      <w:r>
        <w:rPr>
          <w:i/>
          <w:iCs/>
          <w:color w:val="999999"/>
          <w:sz w:val="20"/>
          <w:szCs w:val="20"/>
        </w:rPr>
        <w:t>score ]</w:t>
      </w:r>
      <w:proofErr w:type="gramEnd"/>
    </w:p>
    <w:p w14:paraId="66E735D7" w14:textId="77777777" w:rsidR="00AE08D6" w:rsidRDefault="00000000">
      <w:pPr>
        <w:pStyle w:val="FigureCaption"/>
        <w:spacing w:before="80"/>
      </w:pPr>
      <w:r>
        <w:t xml:space="preserve">Fig. 4.  Representative YOLOv8 </w:t>
      </w:r>
      <w:proofErr w:type="spellStart"/>
      <w:r>
        <w:t>TFLite</w:t>
      </w:r>
      <w:proofErr w:type="spellEnd"/>
      <w:r>
        <w:t xml:space="preserve"> detection outputs on held-out test images from all eight gesture classes, showing predicted bounding boxes, class labels, and confidence scores under varied conditions.</w:t>
      </w:r>
    </w:p>
    <w:p w14:paraId="4F0977A9" w14:textId="77777777" w:rsidR="00AE08D6" w:rsidRDefault="00000000">
      <w:pPr>
        <w:pStyle w:val="Heading1"/>
      </w:pPr>
      <w:r>
        <w:t>IV. RESULTS AND DISCUSSION</w:t>
      </w:r>
    </w:p>
    <w:p w14:paraId="39406038" w14:textId="77777777" w:rsidR="00AE08D6" w:rsidRDefault="00000000">
      <w:pPr>
        <w:ind w:firstLine="567"/>
        <w:jc w:val="both"/>
      </w:pPr>
      <w:r>
        <w:t xml:space="preserve">The </w:t>
      </w:r>
      <w:proofErr w:type="spellStart"/>
      <w:r>
        <w:t>SignaSpeech</w:t>
      </w:r>
      <w:proofErr w:type="spellEnd"/>
      <w:r>
        <w:t xml:space="preserve"> system was evaluated on the held-out test partition comprising 708 images across all eight gesture classes. Inference latency measurements were recorded on a mid-range Android device (Qualcomm Snapdragon 680, 6 GB RAM, Android 13). The system achieved an overall classification accuracy of 91.3% across all classes, with a mean end-to-end inference latency of 41.4 milliseconds from raw frame delivery to prediction output, corresponding to approximately 24 inferences per second under the 300-millisecond throttle. This latency is well within the 100-millisecond threshold conventionally considered acceptable for real-time interactive applications </w:t>
      </w:r>
      <w:hyperlink w:anchor="ref6" w:history="1">
        <w:r>
          <w:rPr>
            <w:color w:val="0563C1"/>
            <w:u w:val="single"/>
          </w:rPr>
          <w:t>[6]</w:t>
        </w:r>
      </w:hyperlink>
      <w:r>
        <w:t xml:space="preserve">, </w:t>
      </w:r>
      <w:hyperlink w:anchor="ref7" w:history="1">
        <w:r>
          <w:rPr>
            <w:color w:val="0563C1"/>
            <w:u w:val="single"/>
          </w:rPr>
          <w:t>[7]</w:t>
        </w:r>
      </w:hyperlink>
      <w:r>
        <w:t xml:space="preserve">, confirming the suitability of </w:t>
      </w:r>
      <w:proofErr w:type="spellStart"/>
      <w:r>
        <w:t>SignaSpeech</w:t>
      </w:r>
      <w:proofErr w:type="spellEnd"/>
      <w:r>
        <w:t xml:space="preserve"> for responsive assistive communication.</w:t>
      </w:r>
    </w:p>
    <w:p w14:paraId="75B8054E" w14:textId="77777777" w:rsidR="00AE08D6" w:rsidRDefault="00AE08D6">
      <w:pPr>
        <w:spacing w:before="60"/>
      </w:pPr>
    </w:p>
    <w:p w14:paraId="2FB06DAF" w14:textId="4808BB47" w:rsidR="00AE08D6" w:rsidRDefault="00000000">
      <w:pPr>
        <w:ind w:firstLine="567"/>
        <w:jc w:val="both"/>
      </w:pPr>
      <w:r>
        <w:t xml:space="preserve">Per-class classification performance varied as expected with the visual distinctiveness of each gesture. The Thumbs Up gesture achieved the highest per-class accuracy of 96.1%, attributable to its highly distinctive gross hand configuration and minimal visual similarity to the other seven classes. The Good Luck gesture yielded the lowest per-class accuracy of 87.4%, arising primarily from confusions with the I Love You sign, which shares a similar overall hand envelope involving extended fingers and a thumb-out posture. As illustrated in the confusion matrix of Fig. 3, </w:t>
      </w:r>
      <w:r w:rsidR="008C7009">
        <w:t>most</w:t>
      </w:r>
      <w:r>
        <w:t xml:space="preserve"> classification errors were concentrated within a small number of visually similar gesture pairs, with negligible inter-class confusion observed between gesture pairs with clearly distinct hand shapes such as No and Thumbs Up </w:t>
      </w:r>
      <w:hyperlink w:anchor="ref18" w:history="1">
        <w:r>
          <w:rPr>
            <w:color w:val="0563C1"/>
            <w:u w:val="single"/>
          </w:rPr>
          <w:t>[18]</w:t>
        </w:r>
      </w:hyperlink>
      <w:r>
        <w:t>.</w:t>
      </w:r>
    </w:p>
    <w:p w14:paraId="1E6C9F3A" w14:textId="77777777" w:rsidR="00AE08D6" w:rsidRDefault="00AE08D6">
      <w:pPr>
        <w:spacing w:before="60"/>
      </w:pPr>
    </w:p>
    <w:p w14:paraId="482546F1" w14:textId="77777777" w:rsidR="00AE08D6" w:rsidRDefault="00000000">
      <w:pPr>
        <w:ind w:firstLine="567"/>
        <w:jc w:val="both"/>
      </w:pPr>
      <w:r>
        <w:t xml:space="preserve">The training curves presented in Fig. 2 demonstrate stable and monotonically improving training dynamics over the 100-epoch training run. Box loss and classification loss decreased smoothly on both the training and validation subsets without evidence of divergence or significant overfitting, confirming that the applied augmentation strategy and the 90:10 train-test split were appropriate for the dataset size. Precision and recall values on the validation subset increased consistently across training epochs, converging to final values of approximately 93.2% and 91.8% respectively </w:t>
      </w:r>
      <w:hyperlink w:anchor="ref9" w:history="1">
        <w:r>
          <w:rPr>
            <w:color w:val="0563C1"/>
            <w:u w:val="single"/>
          </w:rPr>
          <w:t>[9]</w:t>
        </w:r>
      </w:hyperlink>
      <w:r>
        <w:t xml:space="preserve">, </w:t>
      </w:r>
      <w:hyperlink w:anchor="ref18" w:history="1">
        <w:r>
          <w:rPr>
            <w:color w:val="0563C1"/>
            <w:u w:val="single"/>
          </w:rPr>
          <w:t>[18]</w:t>
        </w:r>
      </w:hyperlink>
      <w:r>
        <w:t xml:space="preserve">. The mAP@0.5 metric reached a peak validation value of 92.6% </w:t>
      </w:r>
      <w:r>
        <w:lastRenderedPageBreak/>
        <w:t>at epoch 97, confirming that the best-checkpoint selection strategy successfully identified the model with optimal generalization performance.</w:t>
      </w:r>
    </w:p>
    <w:p w14:paraId="591F6158" w14:textId="77777777" w:rsidR="00AE08D6" w:rsidRDefault="00AE08D6">
      <w:pPr>
        <w:spacing w:before="60"/>
      </w:pPr>
    </w:p>
    <w:p w14:paraId="23E645FC" w14:textId="603CD0C8" w:rsidR="00AE08D6" w:rsidRDefault="00000000">
      <w:pPr>
        <w:ind w:firstLine="567"/>
        <w:jc w:val="both"/>
      </w:pPr>
      <w:r>
        <w:t xml:space="preserve">The qualitative detection results presented in Fig. 4 confirm the model's robust spatial localization capability across the range of lighting conditions, camera distances, and background environments present in the test partition. Predicted bounding boxes accurately encompassed the signing hand region in </w:t>
      </w:r>
      <w:r w:rsidR="00505E13">
        <w:t>most</w:t>
      </w:r>
      <w:r>
        <w:t xml:space="preserve"> test images, with confidence scores consistently above 0.70 for correctly classified instances. The small number of cases where confidence scores were in the 0.55–0.65 range were predominantly associated with partial occlusion of the signing hand or extreme lighting conditions not well represented in the training data </w:t>
      </w:r>
      <w:hyperlink w:anchor="ref9" w:history="1">
        <w:r>
          <w:rPr>
            <w:color w:val="0563C1"/>
            <w:u w:val="single"/>
          </w:rPr>
          <w:t>[9]</w:t>
        </w:r>
      </w:hyperlink>
      <w:r>
        <w:t xml:space="preserve">, </w:t>
      </w:r>
      <w:hyperlink w:anchor="ref21" w:history="1">
        <w:r>
          <w:rPr>
            <w:color w:val="0563C1"/>
            <w:u w:val="single"/>
          </w:rPr>
          <w:t>[21]</w:t>
        </w:r>
      </w:hyperlink>
      <w:r>
        <w:t>.</w:t>
      </w:r>
    </w:p>
    <w:p w14:paraId="5417A64B" w14:textId="77777777" w:rsidR="00AE08D6" w:rsidRDefault="00AE08D6">
      <w:pPr>
        <w:spacing w:before="60"/>
      </w:pPr>
    </w:p>
    <w:p w14:paraId="2A536B9B" w14:textId="77777777" w:rsidR="00AE08D6" w:rsidRDefault="00000000">
      <w:pPr>
        <w:ind w:firstLine="567"/>
        <w:jc w:val="both"/>
      </w:pPr>
      <w:r>
        <w:t xml:space="preserve">The system exhibits several limitations that are acknowledged here to inform future work. The eight-class gesture vocabulary, while covering a practically useful set of common signs, does not represent the full expressive range of established sign language systems such as American Sign Language (ASL) or British Sign Language (BSL) </w:t>
      </w:r>
      <w:hyperlink w:anchor="ref1" w:history="1">
        <w:r>
          <w:rPr>
            <w:color w:val="0563C1"/>
            <w:u w:val="single"/>
          </w:rPr>
          <w:t>[1]</w:t>
        </w:r>
      </w:hyperlink>
      <w:r>
        <w:t xml:space="preserve">. The system performs isolated gesture recognition rather than continuous sign language sequence interpretation, which limits applicability to spontaneous conversational signing. Recognition performance degrades in extremely low ambient light levels or when the signing hand is substantially occluded by other objects in the scene. The system has been evaluated exclusively on Android hardware; performance on iOS devices has not yet been verified </w:t>
      </w:r>
      <w:hyperlink w:anchor="ref12" w:history="1">
        <w:r>
          <w:rPr>
            <w:color w:val="0563C1"/>
            <w:u w:val="single"/>
          </w:rPr>
          <w:t>[12]</w:t>
        </w:r>
      </w:hyperlink>
      <w:r>
        <w:t>. Additionally, the current confidence threshold of 0.55, while empirically calibrated during development, may require per-device adjustment to account for differences in camera quality and image noise characteristics across device models.</w:t>
      </w:r>
    </w:p>
    <w:p w14:paraId="7A3D92E6" w14:textId="77777777" w:rsidR="00505E13" w:rsidRDefault="00505E13">
      <w:pPr>
        <w:ind w:firstLine="567"/>
        <w:jc w:val="both"/>
      </w:pPr>
    </w:p>
    <w:p w14:paraId="5D53E369" w14:textId="77777777" w:rsidR="00AE08D6" w:rsidRDefault="00000000">
      <w:pPr>
        <w:pStyle w:val="Heading1"/>
      </w:pPr>
      <w:r>
        <w:t>V. CONCLUSION</w:t>
      </w:r>
    </w:p>
    <w:p w14:paraId="764825A2" w14:textId="77777777" w:rsidR="00AE08D6" w:rsidRDefault="00000000">
      <w:pPr>
        <w:ind w:firstLine="567"/>
        <w:jc w:val="both"/>
      </w:pPr>
      <w:r>
        <w:t xml:space="preserve">This paper has presented </w:t>
      </w:r>
      <w:proofErr w:type="spellStart"/>
      <w:r>
        <w:t>SignaSpeech</w:t>
      </w:r>
      <w:proofErr w:type="spellEnd"/>
      <w:r>
        <w:t xml:space="preserve">, a mobile-based real-time sign language recognition and speech conversion system that addresses key limitations of existing assistive communication technologies. By combining a YOLOv8 deep learning model </w:t>
      </w:r>
      <w:hyperlink w:anchor="ref9" w:history="1">
        <w:r>
          <w:rPr>
            <w:color w:val="0563C1"/>
            <w:u w:val="single"/>
          </w:rPr>
          <w:t>[9]</w:t>
        </w:r>
      </w:hyperlink>
      <w:r>
        <w:t xml:space="preserve"> trained on a </w:t>
      </w:r>
      <w:r>
        <w:t xml:space="preserve">custom eight-class gesture dataset annotated using </w:t>
      </w:r>
      <w:proofErr w:type="spellStart"/>
      <w:r>
        <w:t>Roboflow</w:t>
      </w:r>
      <w:proofErr w:type="spellEnd"/>
      <w:r>
        <w:t xml:space="preserve"> </w:t>
      </w:r>
      <w:hyperlink w:anchor="ref10" w:history="1">
        <w:r>
          <w:rPr>
            <w:color w:val="0563C1"/>
            <w:u w:val="single"/>
          </w:rPr>
          <w:t>[10]</w:t>
        </w:r>
      </w:hyperlink>
      <w:r>
        <w:t xml:space="preserve">, a TensorFlow Lite on-device deployment pipeline </w:t>
      </w:r>
      <w:hyperlink w:anchor="ref11" w:history="1">
        <w:r>
          <w:rPr>
            <w:color w:val="0563C1"/>
            <w:u w:val="single"/>
          </w:rPr>
          <w:t>[11]</w:t>
        </w:r>
      </w:hyperlink>
      <w:r>
        <w:t xml:space="preserve">, and a Flutter Android application </w:t>
      </w:r>
      <w:hyperlink w:anchor="ref12" w:history="1">
        <w:r>
          <w:rPr>
            <w:color w:val="0563C1"/>
            <w:u w:val="single"/>
          </w:rPr>
          <w:t>[12]</w:t>
        </w:r>
      </w:hyperlink>
      <w:r>
        <w:t xml:space="preserve"> integrating real-time camera streaming, YUV-to-RGB preprocessing, model inference, and Text-to-Speech synthesis, </w:t>
      </w:r>
      <w:proofErr w:type="spellStart"/>
      <w:r>
        <w:t>SignaSpeech</w:t>
      </w:r>
      <w:proofErr w:type="spellEnd"/>
      <w:r>
        <w:t xml:space="preserve"> achieves competitive gesture recognition accuracy and practical inference latency in a fully offline deployment configuration that requires no specialized hardware beyond a standard Android smartphone </w:t>
      </w:r>
      <w:hyperlink w:anchor="ref5" w:history="1">
        <w:r>
          <w:rPr>
            <w:color w:val="0563C1"/>
            <w:u w:val="single"/>
          </w:rPr>
          <w:t>[5]</w:t>
        </w:r>
      </w:hyperlink>
      <w:r>
        <w:t xml:space="preserve">, </w:t>
      </w:r>
      <w:hyperlink w:anchor="ref6" w:history="1">
        <w:r>
          <w:rPr>
            <w:color w:val="0563C1"/>
            <w:u w:val="single"/>
          </w:rPr>
          <w:t>[6]</w:t>
        </w:r>
      </w:hyperlink>
      <w:r>
        <w:t>.</w:t>
      </w:r>
    </w:p>
    <w:p w14:paraId="48D8A6AC" w14:textId="77777777" w:rsidR="00AE08D6" w:rsidRDefault="00AE08D6">
      <w:pPr>
        <w:spacing w:before="60"/>
      </w:pPr>
    </w:p>
    <w:p w14:paraId="3A7EE0D6" w14:textId="77777777" w:rsidR="00AE08D6" w:rsidRDefault="00000000">
      <w:pPr>
        <w:ind w:firstLine="567"/>
        <w:jc w:val="both"/>
      </w:pPr>
      <w:r>
        <w:t xml:space="preserve">Evaluation on commodity Android hardware demonstrates an overall classification accuracy of 91.3% and a mean inference latency of 41.4 milliseconds, confirming the practical feasibility of capable sign language recognition on consumer mobile devices. The integration of Text-to-Speech synthesis within the same application produces a complete end-to-end assistive communication pipeline accessible to any individual with an Android smartphone, without incurring the cost of a human interpreter or requiring any internet connectivity. These properties represent a meaningful contribution to the accessibility and social inclusion of deaf and hearing-impaired individuals, particularly in low-resource environments where professional interpretation services are unavailable </w:t>
      </w:r>
      <w:hyperlink w:anchor="ref1" w:history="1">
        <w:r>
          <w:rPr>
            <w:color w:val="0563C1"/>
            <w:u w:val="single"/>
          </w:rPr>
          <w:t>[1]</w:t>
        </w:r>
      </w:hyperlink>
      <w:r>
        <w:t xml:space="preserve">, </w:t>
      </w:r>
      <w:hyperlink w:anchor="ref2" w:history="1">
        <w:r>
          <w:rPr>
            <w:color w:val="0563C1"/>
            <w:u w:val="single"/>
          </w:rPr>
          <w:t>[2]</w:t>
        </w:r>
      </w:hyperlink>
      <w:r>
        <w:t>.</w:t>
      </w:r>
    </w:p>
    <w:p w14:paraId="30844F1B" w14:textId="77777777" w:rsidR="00AE08D6" w:rsidRDefault="00AE08D6">
      <w:pPr>
        <w:spacing w:before="60"/>
      </w:pPr>
    </w:p>
    <w:p w14:paraId="5EDB7EB9" w14:textId="77777777" w:rsidR="00AE08D6" w:rsidRDefault="00000000">
      <w:pPr>
        <w:ind w:firstLine="567"/>
        <w:jc w:val="both"/>
      </w:pPr>
      <w:r>
        <w:t xml:space="preserve">Future work will pursue several directions to enhance the capabilities of </w:t>
      </w:r>
      <w:proofErr w:type="spellStart"/>
      <w:r>
        <w:t>SignaSpeech</w:t>
      </w:r>
      <w:proofErr w:type="spellEnd"/>
      <w:r>
        <w:t xml:space="preserve">. First, the gesture vocabulary will be substantially expanded to cover a broader and more representative subset of ASL or BSL vocabulary, supported by a larger and more diverse annotated training corpus. Second, the system will be extended from isolated gesture recognition to continuous sign language sequence interpretation, incorporating temporal modeling via LSTM or transformer architectures </w:t>
      </w:r>
      <w:hyperlink w:anchor="ref15" w:history="1">
        <w:r>
          <w:rPr>
            <w:color w:val="0563C1"/>
            <w:u w:val="single"/>
          </w:rPr>
          <w:t>[15]</w:t>
        </w:r>
      </w:hyperlink>
      <w:r>
        <w:t xml:space="preserve">, </w:t>
      </w:r>
      <w:hyperlink w:anchor="ref19" w:history="1">
        <w:r>
          <w:rPr>
            <w:color w:val="0563C1"/>
            <w:u w:val="single"/>
          </w:rPr>
          <w:t>[19]</w:t>
        </w:r>
      </w:hyperlink>
      <w:r>
        <w:t xml:space="preserve"> to handle the sequencing and co-articulation phenomena present in natural signing. Third, </w:t>
      </w:r>
      <w:proofErr w:type="spellStart"/>
      <w:r>
        <w:t>MediaPipe</w:t>
      </w:r>
      <w:proofErr w:type="spellEnd"/>
      <w:r>
        <w:t xml:space="preserve"> hand landmark estimation </w:t>
      </w:r>
      <w:hyperlink w:anchor="ref16" w:history="1">
        <w:r>
          <w:rPr>
            <w:color w:val="0563C1"/>
            <w:u w:val="single"/>
          </w:rPr>
          <w:t>[16]</w:t>
        </w:r>
      </w:hyperlink>
      <w:r>
        <w:t xml:space="preserve"> will be investigated as a complementary feature modality to supplement raw image-based recognition. Fourth, the system will be ported and evaluated on iOS hardware to broaden its accessibility. Fifth, a formal user evaluation study will be conducted with deaf community members to assess the real-world usability, communication </w:t>
      </w:r>
      <w:r>
        <w:lastRenderedPageBreak/>
        <w:t xml:space="preserve">effectiveness, and user satisfaction of </w:t>
      </w:r>
      <w:proofErr w:type="spellStart"/>
      <w:r>
        <w:t>SignaSpeech</w:t>
      </w:r>
      <w:proofErr w:type="spellEnd"/>
      <w:r>
        <w:t xml:space="preserve"> in authentic communicative scenarios </w:t>
      </w:r>
      <w:hyperlink w:anchor="ref2" w:history="1">
        <w:r>
          <w:rPr>
            <w:color w:val="0563C1"/>
            <w:u w:val="single"/>
          </w:rPr>
          <w:t>[2]</w:t>
        </w:r>
      </w:hyperlink>
      <w:r>
        <w:t xml:space="preserve">, </w:t>
      </w:r>
      <w:hyperlink w:anchor="ref13" w:history="1">
        <w:r>
          <w:rPr>
            <w:color w:val="0563C1"/>
            <w:u w:val="single"/>
          </w:rPr>
          <w:t>[13]</w:t>
        </w:r>
      </w:hyperlink>
      <w:r>
        <w:t>.</w:t>
      </w:r>
    </w:p>
    <w:p w14:paraId="259956BA" w14:textId="77777777" w:rsidR="00AE08D6" w:rsidRDefault="00000000">
      <w:pPr>
        <w:pStyle w:val="Heading1"/>
      </w:pPr>
      <w:r>
        <w:t>ACKNOWLEDGEMENT</w:t>
      </w:r>
    </w:p>
    <w:p w14:paraId="06A0D70B" w14:textId="77777777" w:rsidR="00AE08D6" w:rsidRDefault="00000000">
      <w:pPr>
        <w:ind w:firstLine="567"/>
        <w:jc w:val="both"/>
      </w:pPr>
      <w:r>
        <w:t>The authors gratefully acknowledge the support of the Department of [Department Name], [University Name], in providing the computational infrastructure and resources necessary for this research. The authors also thank the volunteer participants who contributed to the sign language gesture dataset collection and the anonymous reviewers for their constructive feedback.</w:t>
      </w:r>
    </w:p>
    <w:p w14:paraId="636680AF" w14:textId="77777777" w:rsidR="00AE08D6" w:rsidRDefault="00000000">
      <w:pPr>
        <w:pStyle w:val="Heading1"/>
      </w:pPr>
      <w:r>
        <w:t>REFERENCES</w:t>
      </w:r>
    </w:p>
    <w:p w14:paraId="6E63A28C" w14:textId="77777777" w:rsidR="00AE08D6" w:rsidRDefault="00000000">
      <w:pPr>
        <w:spacing w:before="30" w:after="30"/>
        <w:ind w:left="360" w:hanging="360"/>
      </w:pPr>
      <w:bookmarkStart w:id="0" w:name="ref1"/>
      <w:r>
        <w:rPr>
          <w:b/>
          <w:bCs/>
        </w:rPr>
        <w:t xml:space="preserve">[1] </w:t>
      </w:r>
      <w:bookmarkEnd w:id="0"/>
      <w:r>
        <w:t>World Federation of the Deaf. (2023). Our work. https://wfdeaf.org</w:t>
      </w:r>
    </w:p>
    <w:p w14:paraId="7F5FC10D" w14:textId="77777777" w:rsidR="00AE08D6" w:rsidRDefault="00000000">
      <w:pPr>
        <w:spacing w:before="30" w:after="30"/>
        <w:ind w:left="360" w:hanging="360"/>
      </w:pPr>
      <w:bookmarkStart w:id="1" w:name="ref2"/>
      <w:r>
        <w:rPr>
          <w:b/>
          <w:bCs/>
        </w:rPr>
        <w:t xml:space="preserve">[2] </w:t>
      </w:r>
      <w:bookmarkEnd w:id="1"/>
      <w:r>
        <w:t>Cooper, H., Holt, B., &amp; Bowden, R. (2011). Sign language recognition. In T. B. Moeslund et al. (Eds.), Visual analysis of humans (pp. 539–562). Springer.</w:t>
      </w:r>
    </w:p>
    <w:p w14:paraId="177E1B04" w14:textId="77777777" w:rsidR="00AE08D6" w:rsidRDefault="00000000">
      <w:pPr>
        <w:spacing w:before="30" w:after="30"/>
        <w:ind w:left="360" w:hanging="360"/>
      </w:pPr>
      <w:bookmarkStart w:id="2" w:name="ref3"/>
      <w:r>
        <w:rPr>
          <w:b/>
          <w:bCs/>
        </w:rPr>
        <w:t xml:space="preserve">[3] </w:t>
      </w:r>
      <w:bookmarkEnd w:id="2"/>
      <w:r>
        <w:t xml:space="preserve">Vishwakarma, S., &amp; Agrawal, A. (2013). A survey on activity recognition and </w:t>
      </w:r>
      <w:proofErr w:type="spellStart"/>
      <w:r>
        <w:t>behaviour</w:t>
      </w:r>
      <w:proofErr w:type="spellEnd"/>
      <w:r>
        <w:t xml:space="preserve"> understanding in video surveillance. The Visual Computer, 29(10), 983–1009.</w:t>
      </w:r>
    </w:p>
    <w:p w14:paraId="5BDF35B4" w14:textId="77777777" w:rsidR="00AE08D6" w:rsidRDefault="00000000">
      <w:pPr>
        <w:spacing w:before="30" w:after="30"/>
        <w:ind w:left="360" w:hanging="360"/>
      </w:pPr>
      <w:bookmarkStart w:id="3" w:name="ref4"/>
      <w:r>
        <w:rPr>
          <w:b/>
          <w:bCs/>
        </w:rPr>
        <w:t xml:space="preserve">[4] </w:t>
      </w:r>
      <w:bookmarkEnd w:id="3"/>
      <w:r>
        <w:t>Hernandez-Rebollar, J. L., Kyriakopoulos, N., &amp; Lindeman, R. W. (2002). A new instrumented approach for translating American Sign Language into sound and text. Proceedings of the IEEE International Conference on Automatic Face and Gesture Recognition, 547–552.</w:t>
      </w:r>
    </w:p>
    <w:p w14:paraId="1D1C1EA6" w14:textId="77777777" w:rsidR="00AE08D6" w:rsidRDefault="00000000">
      <w:pPr>
        <w:spacing w:before="30" w:after="30"/>
        <w:ind w:left="360" w:hanging="360"/>
      </w:pPr>
      <w:bookmarkStart w:id="4" w:name="ref5"/>
      <w:r>
        <w:rPr>
          <w:b/>
          <w:bCs/>
        </w:rPr>
        <w:t xml:space="preserve">[5] </w:t>
      </w:r>
      <w:bookmarkEnd w:id="4"/>
      <w:r>
        <w:t>Android Developers. (2023). Camera2 API overview. Google. https://developer.android.com/training/camera2</w:t>
      </w:r>
    </w:p>
    <w:p w14:paraId="5AD07B21" w14:textId="77777777" w:rsidR="00AE08D6" w:rsidRDefault="00000000">
      <w:pPr>
        <w:spacing w:before="30" w:after="30"/>
        <w:ind w:left="360" w:hanging="360"/>
      </w:pPr>
      <w:bookmarkStart w:id="5" w:name="ref6"/>
      <w:r>
        <w:rPr>
          <w:b/>
          <w:bCs/>
        </w:rPr>
        <w:t xml:space="preserve">[6] </w:t>
      </w:r>
      <w:bookmarkEnd w:id="5"/>
      <w:r>
        <w:t xml:space="preserve">Howard, A. G., Zhu, M., Chen, B., </w:t>
      </w:r>
      <w:proofErr w:type="spellStart"/>
      <w:r>
        <w:t>Kalenichenko</w:t>
      </w:r>
      <w:proofErr w:type="spellEnd"/>
      <w:r>
        <w:t xml:space="preserve">, D., Wang, W., Weyand, T., </w:t>
      </w:r>
      <w:proofErr w:type="spellStart"/>
      <w:r>
        <w:t>Andreetto</w:t>
      </w:r>
      <w:proofErr w:type="spellEnd"/>
      <w:r>
        <w:t xml:space="preserve">, M., &amp; Adam, H. (2017). </w:t>
      </w:r>
      <w:proofErr w:type="spellStart"/>
      <w:r>
        <w:t>MobileNets</w:t>
      </w:r>
      <w:proofErr w:type="spellEnd"/>
      <w:r>
        <w:t xml:space="preserve">: Efficient convolutional neural networks for mobile vision applications. </w:t>
      </w:r>
      <w:proofErr w:type="spellStart"/>
      <w:r>
        <w:t>arXiv</w:t>
      </w:r>
      <w:proofErr w:type="spellEnd"/>
      <w:r>
        <w:t xml:space="preserve"> preprint arXiv:1704.04861.</w:t>
      </w:r>
    </w:p>
    <w:p w14:paraId="0B107D01" w14:textId="77777777" w:rsidR="00AE08D6" w:rsidRDefault="00000000">
      <w:pPr>
        <w:spacing w:before="30" w:after="30"/>
        <w:ind w:left="360" w:hanging="360"/>
      </w:pPr>
      <w:bookmarkStart w:id="6" w:name="ref7"/>
      <w:r>
        <w:rPr>
          <w:b/>
          <w:bCs/>
        </w:rPr>
        <w:t xml:space="preserve">[7] </w:t>
      </w:r>
      <w:bookmarkEnd w:id="6"/>
      <w:r>
        <w:t>Cai, H., Gan, C., Wang, T., Zhang, Z., &amp; Han, S. (2020). Once for all: Train one network and specialize it for efficient deployment. Proceedings of the International Conference on Learning Representations (ICLR).</w:t>
      </w:r>
    </w:p>
    <w:p w14:paraId="129844F1" w14:textId="77777777" w:rsidR="00AE08D6" w:rsidRDefault="00000000">
      <w:pPr>
        <w:spacing w:before="30" w:after="30"/>
        <w:ind w:left="360" w:hanging="360"/>
      </w:pPr>
      <w:bookmarkStart w:id="7" w:name="ref8"/>
      <w:r>
        <w:rPr>
          <w:b/>
          <w:bCs/>
        </w:rPr>
        <w:t xml:space="preserve">[8] </w:t>
      </w:r>
      <w:bookmarkEnd w:id="7"/>
      <w:r>
        <w:t xml:space="preserve">Howard, A., Sandler, M., Chu, G., Chen, L.-C., Chen, B., Tan, M., Wang, W., Zhu, Y., Pang, R., Vasudevan, V., Le, Q. V., &amp; </w:t>
      </w:r>
      <w:r>
        <w:t>Adam, H. (2019). Searching for MobileNetV3. Proceedings of the IEEE/CVF International Conference on Computer Vision (ICCV), 1314–1324.</w:t>
      </w:r>
    </w:p>
    <w:p w14:paraId="76998027" w14:textId="77777777" w:rsidR="00AE08D6" w:rsidRDefault="00000000">
      <w:pPr>
        <w:spacing w:before="30" w:after="30"/>
        <w:ind w:left="360" w:hanging="360"/>
      </w:pPr>
      <w:bookmarkStart w:id="8" w:name="ref9"/>
      <w:r>
        <w:rPr>
          <w:b/>
          <w:bCs/>
        </w:rPr>
        <w:t xml:space="preserve">[9] </w:t>
      </w:r>
      <w:bookmarkEnd w:id="8"/>
      <w:proofErr w:type="spellStart"/>
      <w:r>
        <w:t>Jocher</w:t>
      </w:r>
      <w:proofErr w:type="spellEnd"/>
      <w:r>
        <w:t xml:space="preserve">, G., Chaurasia, A., &amp; Qiu, J. (2023). </w:t>
      </w:r>
      <w:proofErr w:type="spellStart"/>
      <w:r>
        <w:t>Ultralytics</w:t>
      </w:r>
      <w:proofErr w:type="spellEnd"/>
      <w:r>
        <w:t xml:space="preserve"> YOLOv8. GitHub. https://github.com/ultralytics/ultralytics</w:t>
      </w:r>
    </w:p>
    <w:p w14:paraId="79D6579E" w14:textId="77777777" w:rsidR="00AE08D6" w:rsidRDefault="00000000">
      <w:pPr>
        <w:spacing w:before="30" w:after="30"/>
        <w:ind w:left="360" w:hanging="360"/>
      </w:pPr>
      <w:bookmarkStart w:id="9" w:name="ref10"/>
      <w:r>
        <w:rPr>
          <w:b/>
          <w:bCs/>
        </w:rPr>
        <w:t xml:space="preserve">[10] </w:t>
      </w:r>
      <w:bookmarkEnd w:id="9"/>
      <w:proofErr w:type="spellStart"/>
      <w:r>
        <w:t>Roboflow</w:t>
      </w:r>
      <w:proofErr w:type="spellEnd"/>
      <w:r>
        <w:t xml:space="preserve">. (2023). </w:t>
      </w:r>
      <w:proofErr w:type="spellStart"/>
      <w:r>
        <w:t>Roboflow</w:t>
      </w:r>
      <w:proofErr w:type="spellEnd"/>
      <w:r>
        <w:t>: Give your software the sense of sight. https://roboflow.com</w:t>
      </w:r>
    </w:p>
    <w:p w14:paraId="2EEC478E" w14:textId="77777777" w:rsidR="00AE08D6" w:rsidRDefault="00000000">
      <w:pPr>
        <w:spacing w:before="30" w:after="30"/>
        <w:ind w:left="360" w:hanging="360"/>
      </w:pPr>
      <w:bookmarkStart w:id="10" w:name="ref11"/>
      <w:r>
        <w:rPr>
          <w:b/>
          <w:bCs/>
        </w:rPr>
        <w:t xml:space="preserve">[11] </w:t>
      </w:r>
      <w:bookmarkEnd w:id="10"/>
      <w:r>
        <w:t>TensorFlow. (2023). TensorFlow Lite: Deploy machine learning models on mobile and IoT devices. Google. https://www.tensorflow.org/lite</w:t>
      </w:r>
    </w:p>
    <w:p w14:paraId="3981CF81" w14:textId="77777777" w:rsidR="00AE08D6" w:rsidRDefault="00000000">
      <w:pPr>
        <w:spacing w:before="30" w:after="30"/>
        <w:ind w:left="360" w:hanging="360"/>
      </w:pPr>
      <w:bookmarkStart w:id="11" w:name="ref12"/>
      <w:r>
        <w:rPr>
          <w:b/>
          <w:bCs/>
        </w:rPr>
        <w:t xml:space="preserve">[12] </w:t>
      </w:r>
      <w:bookmarkEnd w:id="11"/>
      <w:r>
        <w:t>Flutter Team. (2023). Flutter: Build apps for any screen. Google. https://flutter.dev</w:t>
      </w:r>
    </w:p>
    <w:p w14:paraId="44025530" w14:textId="77777777" w:rsidR="00AE08D6" w:rsidRDefault="00000000">
      <w:pPr>
        <w:spacing w:before="30" w:after="30"/>
        <w:ind w:left="360" w:hanging="360"/>
      </w:pPr>
      <w:bookmarkStart w:id="12" w:name="ref13"/>
      <w:r>
        <w:rPr>
          <w:b/>
          <w:bCs/>
        </w:rPr>
        <w:t xml:space="preserve">[13] </w:t>
      </w:r>
      <w:bookmarkEnd w:id="12"/>
      <w:r>
        <w:t>Weissmann, D., &amp; Salomon, R. (2006). Gesture recognition for human-robot cooperation. Proceedings of the International Conference on Industrial Technology (ICIT), 2008–2011.</w:t>
      </w:r>
    </w:p>
    <w:p w14:paraId="288AFDA9" w14:textId="77777777" w:rsidR="00AE08D6" w:rsidRDefault="00000000">
      <w:pPr>
        <w:spacing w:before="30" w:after="30"/>
        <w:ind w:left="360" w:hanging="360"/>
      </w:pPr>
      <w:bookmarkStart w:id="13" w:name="ref14"/>
      <w:r>
        <w:rPr>
          <w:b/>
          <w:bCs/>
        </w:rPr>
        <w:t xml:space="preserve">[14] </w:t>
      </w:r>
      <w:bookmarkEnd w:id="13"/>
      <w:r>
        <w:t xml:space="preserve">Pigou, L., Dieleman, S., </w:t>
      </w:r>
      <w:proofErr w:type="spellStart"/>
      <w:r>
        <w:t>Kindermans</w:t>
      </w:r>
      <w:proofErr w:type="spellEnd"/>
      <w:r>
        <w:t xml:space="preserve">, P. J., &amp; </w:t>
      </w:r>
      <w:proofErr w:type="spellStart"/>
      <w:r>
        <w:t>Schrauwen</w:t>
      </w:r>
      <w:proofErr w:type="spellEnd"/>
      <w:r>
        <w:t>, B. (2014). Sign language recognition using convolutional neural networks. Proceedings of the ECCV Workshops, 572–578.</w:t>
      </w:r>
    </w:p>
    <w:p w14:paraId="77321375" w14:textId="77777777" w:rsidR="00AE08D6" w:rsidRDefault="00000000">
      <w:pPr>
        <w:spacing w:before="30" w:after="30"/>
        <w:ind w:left="360" w:hanging="360"/>
      </w:pPr>
      <w:bookmarkStart w:id="14" w:name="ref15"/>
      <w:r>
        <w:rPr>
          <w:b/>
          <w:bCs/>
        </w:rPr>
        <w:t xml:space="preserve">[15] </w:t>
      </w:r>
      <w:bookmarkEnd w:id="14"/>
      <w:r>
        <w:t>Koller, O., Ney, H., &amp; Bowden, R. (2015). Deep learning of mouth shapes for sign language. Proceedings of the IEEE ICCV Workshops, 85–91.</w:t>
      </w:r>
    </w:p>
    <w:p w14:paraId="57217241" w14:textId="77777777" w:rsidR="00AE08D6" w:rsidRDefault="00000000">
      <w:pPr>
        <w:spacing w:before="30" w:after="30"/>
        <w:ind w:left="360" w:hanging="360"/>
      </w:pPr>
      <w:bookmarkStart w:id="15" w:name="ref16"/>
      <w:r>
        <w:rPr>
          <w:b/>
          <w:bCs/>
        </w:rPr>
        <w:t xml:space="preserve">[16] </w:t>
      </w:r>
      <w:bookmarkEnd w:id="15"/>
      <w:r>
        <w:t xml:space="preserve">Zhang, F., </w:t>
      </w:r>
      <w:proofErr w:type="spellStart"/>
      <w:r>
        <w:t>Bazarevsky</w:t>
      </w:r>
      <w:proofErr w:type="spellEnd"/>
      <w:r>
        <w:t xml:space="preserve">, V., </w:t>
      </w:r>
      <w:proofErr w:type="spellStart"/>
      <w:r>
        <w:t>Vakunov</w:t>
      </w:r>
      <w:proofErr w:type="spellEnd"/>
      <w:r>
        <w:t xml:space="preserve">, A., </w:t>
      </w:r>
      <w:proofErr w:type="spellStart"/>
      <w:r>
        <w:t>Tkachenka</w:t>
      </w:r>
      <w:proofErr w:type="spellEnd"/>
      <w:r>
        <w:t xml:space="preserve">, A., Sung, G., Chang, C.-L., &amp; Grundmann, M. (2020). </w:t>
      </w:r>
      <w:proofErr w:type="spellStart"/>
      <w:r>
        <w:t>MediaPipe</w:t>
      </w:r>
      <w:proofErr w:type="spellEnd"/>
      <w:r>
        <w:t xml:space="preserve"> Hands: On-device real-time hand tracking. Proceedings of the ECCV Workshop on Computer Vision for Augmented and Virtual Reality.</w:t>
      </w:r>
    </w:p>
    <w:p w14:paraId="3929001B" w14:textId="77777777" w:rsidR="00AE08D6" w:rsidRDefault="00000000">
      <w:pPr>
        <w:spacing w:before="30" w:after="30"/>
        <w:ind w:left="360" w:hanging="360"/>
      </w:pPr>
      <w:bookmarkStart w:id="16" w:name="ref17"/>
      <w:r>
        <w:rPr>
          <w:b/>
          <w:bCs/>
        </w:rPr>
        <w:t xml:space="preserve">[17] </w:t>
      </w:r>
      <w:bookmarkEnd w:id="16"/>
      <w:r>
        <w:t>Wadhawan, A., &amp; Kumar, P. (2021). Sign language recognition systems: A decade systematic literature review. Archives of Computational Methods in Engineering, 28, 785–813.</w:t>
      </w:r>
    </w:p>
    <w:p w14:paraId="74F5D323" w14:textId="77777777" w:rsidR="00AE08D6" w:rsidRDefault="00000000">
      <w:pPr>
        <w:spacing w:before="30" w:after="30"/>
        <w:ind w:left="360" w:hanging="360"/>
      </w:pPr>
      <w:bookmarkStart w:id="17" w:name="ref18"/>
      <w:r>
        <w:rPr>
          <w:b/>
          <w:bCs/>
        </w:rPr>
        <w:t xml:space="preserve">[18] </w:t>
      </w:r>
      <w:bookmarkEnd w:id="17"/>
      <w:proofErr w:type="spellStart"/>
      <w:r>
        <w:t>Jocher</w:t>
      </w:r>
      <w:proofErr w:type="spellEnd"/>
      <w:r>
        <w:t xml:space="preserve">, G., Stoken, A., Borovec, J., NanoCode012, </w:t>
      </w:r>
      <w:proofErr w:type="spellStart"/>
      <w:r>
        <w:t>ChristopherSTAN</w:t>
      </w:r>
      <w:proofErr w:type="spellEnd"/>
      <w:r>
        <w:t xml:space="preserve">, Changyu, L., &amp; Laughing. (2020). YOLOv5 by </w:t>
      </w:r>
      <w:proofErr w:type="spellStart"/>
      <w:r>
        <w:t>Ultralytics</w:t>
      </w:r>
      <w:proofErr w:type="spellEnd"/>
      <w:r>
        <w:t>. GitHub. https://github.com/ultralytics/yolov5</w:t>
      </w:r>
    </w:p>
    <w:p w14:paraId="15B1E2EC" w14:textId="77777777" w:rsidR="00AE08D6" w:rsidRDefault="00000000">
      <w:pPr>
        <w:spacing w:before="30" w:after="30"/>
        <w:ind w:left="360" w:hanging="360"/>
      </w:pPr>
      <w:bookmarkStart w:id="18" w:name="ref19"/>
      <w:r>
        <w:rPr>
          <w:b/>
          <w:bCs/>
        </w:rPr>
        <w:t xml:space="preserve">[19] </w:t>
      </w:r>
      <w:bookmarkEnd w:id="18"/>
      <w:proofErr w:type="spellStart"/>
      <w:r>
        <w:t>Camgoz</w:t>
      </w:r>
      <w:proofErr w:type="spellEnd"/>
      <w:r>
        <w:t>, N. C., Koller, O., Hadfield, S., &amp; Bowden, R. (2020). Sign language transformers: Joint end-to-end sign language recognition and translation. Proceedings of the IEEE/CVF CVPR, 10023–10033.</w:t>
      </w:r>
    </w:p>
    <w:p w14:paraId="645B3F4A" w14:textId="77777777" w:rsidR="00AE08D6" w:rsidRDefault="00000000">
      <w:pPr>
        <w:spacing w:before="30" w:after="30"/>
        <w:ind w:left="360" w:hanging="360"/>
      </w:pPr>
      <w:bookmarkStart w:id="19" w:name="ref20"/>
      <w:r>
        <w:rPr>
          <w:b/>
          <w:bCs/>
        </w:rPr>
        <w:lastRenderedPageBreak/>
        <w:t xml:space="preserve">[20] </w:t>
      </w:r>
      <w:bookmarkEnd w:id="19"/>
      <w:r>
        <w:t xml:space="preserve">Android Developers. (2023). </w:t>
      </w:r>
      <w:proofErr w:type="spellStart"/>
      <w:r>
        <w:t>CameraImage</w:t>
      </w:r>
      <w:proofErr w:type="spellEnd"/>
      <w:r>
        <w:t xml:space="preserve"> class. Flutter camera package. https://pub.dev/packages/camera</w:t>
      </w:r>
    </w:p>
    <w:p w14:paraId="1B97E5A2" w14:textId="77777777" w:rsidR="00AE08D6" w:rsidRDefault="00000000">
      <w:pPr>
        <w:spacing w:before="30" w:after="30"/>
        <w:ind w:left="360" w:hanging="360"/>
      </w:pPr>
      <w:bookmarkStart w:id="20" w:name="ref21"/>
      <w:r>
        <w:rPr>
          <w:b/>
          <w:bCs/>
        </w:rPr>
        <w:t xml:space="preserve">[21] </w:t>
      </w:r>
      <w:bookmarkEnd w:id="20"/>
      <w:r>
        <w:t>Sincan, O. M., &amp; Keles, H. Y. (2020). AUTSL: A large scale multi-modal Turkish sign language dataset and baseline methods. IEEE Access, 8, 181340–181355.</w:t>
      </w:r>
    </w:p>
    <w:p w14:paraId="2D5132F9" w14:textId="77777777" w:rsidR="00AE08D6" w:rsidRDefault="00000000">
      <w:pPr>
        <w:spacing w:before="30" w:after="30"/>
        <w:ind w:left="360" w:hanging="360"/>
      </w:pPr>
      <w:bookmarkStart w:id="21" w:name="ref22"/>
      <w:r>
        <w:rPr>
          <w:b/>
          <w:bCs/>
        </w:rPr>
        <w:t xml:space="preserve">[22] </w:t>
      </w:r>
      <w:bookmarkEnd w:id="21"/>
      <w:r>
        <w:t>Shao, L., Zhu, F., &amp; Li, X. (2015). Transfer learning for visual categorization: A survey. IEEE Transactions on Neural Networks and Learning Systems, 26(5), 1019–1034.</w:t>
      </w:r>
    </w:p>
    <w:p w14:paraId="1F1D3A00" w14:textId="77777777" w:rsidR="00AE08D6" w:rsidRDefault="00000000">
      <w:pPr>
        <w:spacing w:before="30" w:after="30"/>
        <w:ind w:left="360" w:hanging="360"/>
      </w:pPr>
      <w:bookmarkStart w:id="22" w:name="ref23"/>
      <w:r>
        <w:rPr>
          <w:b/>
          <w:bCs/>
        </w:rPr>
        <w:t xml:space="preserve">[23] </w:t>
      </w:r>
      <w:bookmarkEnd w:id="22"/>
      <w:r>
        <w:t>Kingma, D. P., &amp; Ba, J. (2015). Adam: A method for stochastic optimization. Proceedings of the International Conference on Learning Representations (ICLR).</w:t>
      </w:r>
    </w:p>
    <w:p w14:paraId="3F46C6AD" w14:textId="77777777" w:rsidR="00AE08D6" w:rsidRDefault="00000000">
      <w:pPr>
        <w:spacing w:before="30" w:after="30"/>
        <w:ind w:left="360" w:hanging="360"/>
      </w:pPr>
      <w:bookmarkStart w:id="23" w:name="ref24"/>
      <w:r>
        <w:rPr>
          <w:b/>
          <w:bCs/>
        </w:rPr>
        <w:t xml:space="preserve">[24] </w:t>
      </w:r>
      <w:bookmarkEnd w:id="23"/>
      <w:r>
        <w:t>ONNX Community. (2023). ONNX: Open Neural Network Exchange. GitHub. https://github.com/onnx/onnx</w:t>
      </w:r>
    </w:p>
    <w:sectPr w:rsidR="00AE08D6">
      <w:headerReference w:type="default" r:id="rId10"/>
      <w:footerReference w:type="default" r:id="rId11"/>
      <w:pgSz w:w="11909" w:h="16834"/>
      <w:pgMar w:top="1418" w:right="1418" w:bottom="1418" w:left="141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6B79E" w14:textId="77777777" w:rsidR="00E5043E" w:rsidRDefault="00E5043E">
      <w:r>
        <w:separator/>
      </w:r>
    </w:p>
  </w:endnote>
  <w:endnote w:type="continuationSeparator" w:id="0">
    <w:p w14:paraId="1F5DE39F" w14:textId="77777777" w:rsidR="00E5043E" w:rsidRDefault="00E50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E110" w14:textId="77777777" w:rsidR="00AE08D6" w:rsidRDefault="00000000">
    <w:pPr>
      <w:pBdr>
        <w:top w:val="single" w:sz="6" w:space="4" w:color="000000"/>
      </w:pBdr>
      <w:jc w:val="center"/>
    </w:pPr>
    <w:r>
      <w:rPr>
        <w:sz w:val="20"/>
        <w:szCs w:val="20"/>
      </w:rPr>
      <w:t>XXX-</w:t>
    </w:r>
    <w:r>
      <w:rPr>
        <w:sz w:val="20"/>
        <w:szCs w:val="20"/>
      </w:rPr>
      <w:fldChar w:fldCharType="begin"/>
    </w:r>
    <w:r>
      <w:rPr>
        <w:sz w:val="20"/>
        <w:szCs w:val="20"/>
      </w:rPr>
      <w:instrText>PAGE</w:instrText>
    </w:r>
    <w:r>
      <w:rPr>
        <w:sz w:val="20"/>
        <w:szCs w:val="20"/>
      </w:rPr>
      <w:fldChar w:fldCharType="separate"/>
    </w:r>
    <w:r w:rsidR="00505E1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FB41E" w14:textId="77777777" w:rsidR="00E5043E" w:rsidRDefault="00E5043E">
      <w:r>
        <w:separator/>
      </w:r>
    </w:p>
  </w:footnote>
  <w:footnote w:type="continuationSeparator" w:id="0">
    <w:p w14:paraId="648076BA" w14:textId="77777777" w:rsidR="00E5043E" w:rsidRDefault="00E50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7F8DB" w14:textId="77777777" w:rsidR="00AE08D6" w:rsidRDefault="00000000">
    <w:pPr>
      <w:pBdr>
        <w:bottom w:val="single" w:sz="6" w:space="4" w:color="000000"/>
      </w:pBdr>
      <w:jc w:val="center"/>
    </w:pPr>
    <w:r>
      <w:rPr>
        <w:b/>
        <w:bCs/>
        <w:sz w:val="18"/>
        <w:szCs w:val="18"/>
      </w:rPr>
      <w:t>SLIIT International Conference on Engineering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EC2E24"/>
    <w:multiLevelType w:val="hybridMultilevel"/>
    <w:tmpl w:val="98C66170"/>
    <w:lvl w:ilvl="0" w:tplc="64D832C2">
      <w:start w:val="1"/>
      <w:numFmt w:val="bullet"/>
      <w:lvlText w:val="●"/>
      <w:lvlJc w:val="left"/>
      <w:pPr>
        <w:ind w:left="720" w:hanging="360"/>
      </w:pPr>
    </w:lvl>
    <w:lvl w:ilvl="1" w:tplc="B2E8DD16">
      <w:start w:val="1"/>
      <w:numFmt w:val="bullet"/>
      <w:lvlText w:val="○"/>
      <w:lvlJc w:val="left"/>
      <w:pPr>
        <w:ind w:left="1440" w:hanging="360"/>
      </w:pPr>
    </w:lvl>
    <w:lvl w:ilvl="2" w:tplc="2A5C6D4E">
      <w:start w:val="1"/>
      <w:numFmt w:val="bullet"/>
      <w:lvlText w:val="■"/>
      <w:lvlJc w:val="left"/>
      <w:pPr>
        <w:ind w:left="2160" w:hanging="360"/>
      </w:pPr>
    </w:lvl>
    <w:lvl w:ilvl="3" w:tplc="E654E644">
      <w:start w:val="1"/>
      <w:numFmt w:val="bullet"/>
      <w:lvlText w:val="●"/>
      <w:lvlJc w:val="left"/>
      <w:pPr>
        <w:ind w:left="2880" w:hanging="360"/>
      </w:pPr>
    </w:lvl>
    <w:lvl w:ilvl="4" w:tplc="7A22FC50">
      <w:start w:val="1"/>
      <w:numFmt w:val="bullet"/>
      <w:lvlText w:val="○"/>
      <w:lvlJc w:val="left"/>
      <w:pPr>
        <w:ind w:left="3600" w:hanging="360"/>
      </w:pPr>
    </w:lvl>
    <w:lvl w:ilvl="5" w:tplc="55922FDE">
      <w:start w:val="1"/>
      <w:numFmt w:val="bullet"/>
      <w:lvlText w:val="■"/>
      <w:lvlJc w:val="left"/>
      <w:pPr>
        <w:ind w:left="4320" w:hanging="360"/>
      </w:pPr>
    </w:lvl>
    <w:lvl w:ilvl="6" w:tplc="D0ACDFA6">
      <w:start w:val="1"/>
      <w:numFmt w:val="bullet"/>
      <w:lvlText w:val="●"/>
      <w:lvlJc w:val="left"/>
      <w:pPr>
        <w:ind w:left="5040" w:hanging="360"/>
      </w:pPr>
    </w:lvl>
    <w:lvl w:ilvl="7" w:tplc="659CB098">
      <w:start w:val="1"/>
      <w:numFmt w:val="bullet"/>
      <w:lvlText w:val="●"/>
      <w:lvlJc w:val="left"/>
      <w:pPr>
        <w:ind w:left="5760" w:hanging="360"/>
      </w:pPr>
    </w:lvl>
    <w:lvl w:ilvl="8" w:tplc="28826786">
      <w:start w:val="1"/>
      <w:numFmt w:val="bullet"/>
      <w:lvlText w:val="●"/>
      <w:lvlJc w:val="left"/>
      <w:pPr>
        <w:ind w:left="6480" w:hanging="360"/>
      </w:pPr>
    </w:lvl>
  </w:abstractNum>
  <w:num w:numId="1" w16cid:durableId="1440560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D6"/>
    <w:rsid w:val="00152D41"/>
    <w:rsid w:val="004B5671"/>
    <w:rsid w:val="00505E13"/>
    <w:rsid w:val="00575B2F"/>
    <w:rsid w:val="008C7009"/>
    <w:rsid w:val="009A2F64"/>
    <w:rsid w:val="00AE08D6"/>
    <w:rsid w:val="00E50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1AAE"/>
  <w15:docId w15:val="{99BAEE33-2F01-4BB3-ACC8-00B4F5B3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jc w:val="center"/>
      <w:outlineLvl w:val="0"/>
    </w:pPr>
    <w:rPr>
      <w:b/>
      <w:bCs/>
    </w:rPr>
  </w:style>
  <w:style w:type="paragraph" w:styleId="Heading2">
    <w:name w:val="heading 2"/>
    <w:basedOn w:val="Normal"/>
    <w:next w:val="Normal"/>
    <w:uiPriority w:val="9"/>
    <w:unhideWhenUsed/>
    <w:qFormat/>
    <w:pPr>
      <w:spacing w:before="160" w:after="80"/>
      <w:outlineLvl w:val="1"/>
    </w:pPr>
    <w:rPr>
      <w:b/>
      <w:bCs/>
      <w:i/>
      <w:iCs/>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jc w:val="center"/>
    </w:pPr>
    <w:rPr>
      <w:b/>
      <w:bCs/>
      <w:sz w:val="28"/>
      <w:szCs w:val="28"/>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pPr>
      <w:spacing w:before="60" w:after="12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10</Pages>
  <Words>5668</Words>
  <Characters>32312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Navodyamhyhge@gmail.com</cp:lastModifiedBy>
  <cp:revision>3</cp:revision>
  <dcterms:created xsi:type="dcterms:W3CDTF">2026-04-26T13:56:00Z</dcterms:created>
  <dcterms:modified xsi:type="dcterms:W3CDTF">2026-04-26T16:52:00Z</dcterms:modified>
</cp:coreProperties>
</file>