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line="270" w:lineRule="atLeast"/><w:ind w:hanging="0" w:left="0" w:right="0"/><w:jc w:val="left"/></w:pPr><w:r><w:rPr><w:rFonts w:ascii="Arial;Tahoma;sans-serif" w:hAnsi="Arial;Tahoma;sans-serif"/><w:b/><w:i w:val="false"/><w:caps w:val="false"/><w:smallCaps w:val="false"/><w:color w:val="333333"/><w:spacing w:val="0"/><w:sz w:val="21"/></w:rPr><w:t>1. TRIANGULAR MOVING AVERAGE</w:t></w:r></w:p><w:p><w:pPr><w:pStyle w:val="style0"/><w:spacing w:line="270" w:lineRule="atLeast"/><w:ind w:hanging="0" w:left="0" w:right="0"/><w:jc w:val="left"/></w:pPr><w:r><w:rPr></w:rPr></w:r></w:p><w:p><w:pPr><w:pStyle w:val="style0"/><w:spacing w:line="270" w:lineRule="atLeast"/><w:ind w:hanging="0" w:left="0" w:right="0"/><w:jc w:val="left"/></w:pPr><w:r><w:rPr><w:rFonts w:ascii="Arial;Tahoma;sans-serif" w:hAnsi="Arial;Tahoma;sans-serif"/><w:b w:val="false"/><w:i w:val="false"/><w:caps w:val="false"/><w:smallCaps w:val="false"/><w:color w:val="333333"/><w:spacing w:val="0"/><w:sz w:val="21"/></w:rPr><w:t>Wea</w:t></w:r><w:r><w:rPr><w:rFonts w:ascii="Arial;Tahoma;sans-serif" w:hAnsi="Arial;Tahoma;sans-serif"/><w:b/><w:i w:val="false"/><w:caps w:val="false"/><w:smallCaps w:val="false"/><w:color w:val="333333"/><w:spacing w:val="0"/><w:sz w:val="21"/></w:rPr><w:t>kness</w:t></w:r><w:r><w:rPr></w:rPr><w:br/></w:r><w:r><w:rPr><w:rFonts w:ascii="Arial;Tahoma;sans-serif" w:hAnsi="Arial;Tahoma;sans-serif"/><w:b w:val="false"/><w:i w:val="false"/><w:caps w:val="false"/><w:smallCaps w:val="false"/><w:color w:val="333333"/><w:spacing w:val="0"/><w:sz w:val="21"/></w:rPr><w:t>Despite the weighting, the TMA since it is moving (always a set period of time in the past) can be unduly influenced by older prices just outside the scope of time no longer being included in the average.  The opposite is also true.  New prices being included in the scope of the average can also have an excessive influence on the average.   Also, since the weighting is emphasized towards the middle of the datum points, it can easily appear removed from the reality of current trading activity and can easily minimize the drama of recent gaps up or down in price. </w:t></w:r><w:r><w:rPr></w:rPr><w:br/><w:br/></w:r><w:r><w:rPr><w:rFonts w:ascii="Arial;Tahoma;sans-serif" w:hAnsi="Arial;Tahoma;sans-serif"/><w:b/><w:i w:val="false"/><w:caps w:val="false"/><w:smallCaps w:val="false"/><w:color w:val="333333"/><w:spacing w:val="0"/><w:sz w:val="21"/></w:rPr><w:t>Strengths</w:t></w:r><w:r><w:rPr></w:rPr><w:br/></w:r><w:r><w:rPr><w:rFonts w:ascii="Arial;Tahoma;sans-serif" w:hAnsi="Arial;Tahoma;sans-serif"/><w:b w:val="false"/><w:i w:val="false"/><w:caps w:val="false"/><w:smallCaps w:val="false"/><w:color w:val="333333"/><w:spacing w:val="0"/><w:sz w:val="21"/></w:rPr><w:t>The smooth lines of the TMA often act as lines of support or resistance.  If a price rises towards a moving average line, only to bounce back down in price, it is said to be a line of resistance.  If a price falls towards a moving average line, only to bounce back up in price, it is said to be a line of support.  Identifying these lines of support and resistance can assist investors in determining ideal entry and exit prices for stocks.  Of course prices do not always bounce off support and resistance lines.  Investors should never assume for example that a stock will not go beneath a support line. </w:t></w:r></w:p><w:p><w:pPr><w:pStyle w:val="style0"/><w:spacing w:line="270" w:lineRule="atLeast"/><w:ind w:hanging="0" w:left="0" w:right="0"/><w:jc w:val="left"/></w:pPr><w:r><w:rPr></w:rPr></w:r></w:p><w:p><w:pPr><w:pStyle w:val="style0"/><w:spacing w:line="270" w:lineRule="atLeast"/><w:ind w:hanging="0" w:left="0" w:right="0"/><w:jc w:val="left"/></w:pPr><w:r><w:rPr></w:rPr></w:r></w:p><w:p><w:pPr><w:pStyle w:val="style0"/></w:pPr><w:r><w:rPr></w:rPr><w:t xml:space="preserve">2. </w:t></w:r><w:bookmarkStart w:id="0" w:name="accumulation_distrib"/><w:bookmarkEnd w:id="0"/><w:r><w:rPr><w:rFonts w:ascii="Arial;Tahoma;sans-serif" w:hAnsi="Arial;Tahoma;sans-serif"/><w:b w:val="false"/><w:i w:val="false"/><w:caps w:val="false"/><w:smallCaps w:val="false"/><w:color w:val="333333"/><w:spacing w:val="0"/><w:sz w:val="21"/></w:rPr><w:t>Accumulation Distribution Line</w:t></w:r></w:p><w:p><w:pPr><w:pStyle w:val="style2"/><w:numPr><w:ilvl w:val="1"/><w:numId w:val="1"/></w:numPr></w:pPr><w:bookmarkStart w:id="1" w:name="introduction"/><w:bookmarkStart w:id="2" w:name="a1"/><w:bookmarkEnd w:id="1"/><w:bookmarkEnd w:id="2"/><w:r><w:rPr></w:rPr><w:t>Introduction</w:t></w:r></w:p><w:p><w:pPr><w:pStyle w:val="style20"/></w:pPr><w:r><w:rPr></w:rPr><w:t xml:space="preserve">Developed by Marc Chaikin, the Accumulation Distribution Line is a volume-based indicator designed to measure the cumulative flow of money into and out of a security. Chaikin originally referred to the indicator as the Cumulative Money Flow Line. As with cumulative indicators, the Accumulation Distribution Line is a running total of each period&apos;s Money Flow Volume. First, a multiplier is calculated based on the relationship of the close to the high-low range. Second, the Money Flow Multiplier is multiplied by the period&apos;s volume to come up with a Money Flow Volume. A running total of the Money Flow Volume forms the Accumulation Distribution Line. Chartists can use this indicator to affirm a security&apos;s underlying trend or anticipate reversals when the indicator diverges from the security price. </w:t></w:r></w:p><w:p><w:pPr><w:pStyle w:val="style2"/><w:numPr><w:ilvl w:val="1"/><w:numId w:val="1"/></w:numPr></w:pPr><w:bookmarkStart w:id="3" w:name="calculation"/><w:bookmarkStart w:id="4" w:name="a2"/><w:bookmarkEnd w:id="3"/><w:bookmarkEnd w:id="4"/><w:r><w:rPr></w:rPr><w:t>Calculation</w:t></w:r></w:p><w:p><w:pPr><w:pStyle w:val="style20"/></w:pPr><w:r><w:rPr></w:rPr><w:t xml:space="preserve">There are three steps to calculating the Accumulation Distribution Line (ADL). First, calculate the Money Flow Multiplier. Second, multiply this value by volume to find the Money Flow Volume. Third, create a running total of Money Flow Volume to form the Accumulation Distribution Line (ADL). </w:t></w:r></w:p><w:p><w:pPr><w:pStyle w:val="style24"/></w:pPr><w:r><w:rPr></w:rPr><w:t xml:space="preserve">               </w:t></w:r></w:p><w:p><w:pPr><w:pStyle w:val="style24"/></w:pPr><w:r><w:rPr></w:rPr><w:t xml:space="preserve">  </w:t></w:r><w:r><w:rPr><w:rFonts w:ascii="monospace" w:hAnsi="monospace"/></w:rPr><w:t xml:space="preserve">1. Money Flow Multiplier = [(Close  -  Low) - (High - Close)] /(High - Low) </w:t></w:r></w:p><w:p><w:pPr><w:pStyle w:val="style24"/></w:pPr><w:r><w:rPr></w:rPr></w:r></w:p><w:p><w:pPr><w:pStyle w:val="style24"/></w:pPr><w:r><w:rPr></w:rPr><w:t xml:space="preserve">  </w:t></w:r><w:r><w:rPr><w:rFonts w:ascii="monospace" w:hAnsi="monospace"/></w:rPr><w:t>2. Money Flow Volume = Money Flow Multiplier x Volume for the Period</w:t></w:r></w:p><w:p><w:pPr><w:pStyle w:val="style24"/></w:pPr><w:r><w:rPr></w:rPr></w:r></w:p><w:p><w:pPr><w:pStyle w:val="style24"/></w:pPr><w:r><w:rPr></w:rPr><w:t xml:space="preserve">  </w:t></w:r><w:r><w:rPr><w:rFonts w:ascii="monospace" w:hAnsi="monospace"/></w:rPr><w:t>3. ADL = Previous ADL + Current Period&apos;s Money Flow Volume</w:t></w:r></w:p><w:p><w:pPr><w:pStyle w:val="style24"/><w:spacing w:after="283" w:before="0"/><w:contextualSpacing w:val="false"/></w:pPr><w:r><w:rPr></w:rPr></w:r></w:p><w:p><w:pPr><w:pStyle w:val="style20"/></w:pPr><w:r><w:rPr></w:rPr><w:t xml:space="preserve">The Money Flow Multiplier fluctuates between +1 and -1. As such, it holds the key to the Money Flow Volume and the Accumulation Distribution Line. The multiplier is positive when the close is in the upper half of the high-low range and negative when in the lower half. This makes perfect sense. Buying pressure is stronger than selling pressure when prices close in the upper half of the period&apos;s range (and visa versa). The Accumulation Distribution Line rises when the multiplier is positive and falls when the multiplier is negative. </w:t></w:r></w:p><w:p><w:pPr><w:pStyle w:val="style20"/></w:pPr><w:r><w:rPr></w:rPr><w:t xml:space="preserve">The multiplier adjusts the amount of volume that ends up in the Money Flow Volume. Volume is in effect reduced unless the Money Flow Multiplier is at its extremes (+1 or -1). The multiplier is +1 when the close is on the high and -1 when the close is on the low. All volume is positive when +1 and all volume is negative when -1. At .50, only half of the volume translates into the period&apos;s Money Flow Volume. The table below shows the Money Flow Multipliers, Money Flow Volume and Accumulation Distribution Line for Research-in-Motion (RIMM). Notice how the multiplier is between .50 and 1 when the close is strong and between -.50 and -1 when the close is weak. </w:t></w:r></w:p><w:p><w:pPr><w:pStyle w:val="style2"/><w:numPr><w:ilvl w:val="1"/><w:numId w:val="1"/></w:numPr></w:pPr><w:bookmarkStart w:id="5" w:name="interpretation"/><w:bookmarkStart w:id="6" w:name="a3"/><w:bookmarkEnd w:id="5"/><w:bookmarkEnd w:id="6"/><w:r><w:rPr></w:rPr><w:t>Interpretation</w:t></w:r></w:p><w:p><w:pPr><w:pStyle w:val="style20"/></w:pPr><w:r><w:rPr></w:rPr><w:t xml:space="preserve">The Accumulation Distribution Line is a cumulative measure of each period&apos;s volume flow, or money flow. A high positive multiplier combined with high volume shows strong buying pressure that pushes the indicator higher. Conversely, a low negative number combined with high volume reflects strong selling pressure that pushes the indicator lower. Money Flow Volume accumulates to form a line that either confirms or contradicts the underlying price trend. In this regard, the indicator is used to either reinforce the underlying trend or cast doubts on its sustainability. An uptrend in prices with a downtrend in the Accumulation Distribution Line suggests underlying selling pressure (distribution) that could foreshadow a bearish reversal on the price chart. A downtrend in prices with an uptrend in the Accumulation Distribution Line indicate underlying buying pressure (accumulation) that could foreshadow a bullish reversal in prices. </w:t></w:r></w:p><w:p><w:pPr><w:pStyle w:val="style2"/><w:numPr><w:ilvl w:val="1"/><w:numId w:val="1"/></w:numPr></w:pPr><w:bookmarkStart w:id="7" w:name="adl_versus_obv"/><w:bookmarkStart w:id="8" w:name="a4"/><w:bookmarkEnd w:id="7"/><w:bookmarkEnd w:id="8"/><w:r><w:rPr></w:rPr><w:t>ADL versus OBV</w:t></w:r></w:p><w:p><w:pPr><w:pStyle w:val="style20"/></w:pPr><w:r><w:rPr></w:rPr><w:t xml:space="preserve">The Accumulation Distribution Line and On Balance Volume (OBV) are cumulative volume-based indicators that sometimes move in opposite directions because their basic formulas are different. Joe Granville developed </w:t></w:r><w:hyperlink r:id="rId2"><w:r><w:rPr><w:rStyle w:val="style15"/><w:rStyle w:val="style15"/></w:rPr><w:t>On Balance Volume</w:t></w:r></w:hyperlink><w:r><w:rPr></w:rPr><w:t xml:space="preserve"> (OBV) as a cumulative measure of positive and negative volume flow. OBV adds a period&apos;s total volume when the close is up and subtracts it when the close is down. A cumulative total of this positive and negative volume flow forms the OBV line. This line can then be compared with the price chart of the underlying security to look for divergences or confirmation. </w:t></w:r></w:p><w:p><w:pPr><w:pStyle w:val="style20"/></w:pPr><w:r><w:rPr></w:rPr><w:t xml:space="preserve">As the formula above shows, Chaikin took a different approach by completely ignoring the change from one period to the next. Instead, the Accumulation Distribution Line focuses on the level of the close relative to the high-low range for a given period (day, week, month). With this formula, a security could gap down and close significantly lower, but the Accumulation Distribution Line would rise if the close were above the midpoint of the high-low range. The chart above shows Clorox (CLX) with a big gap down and a close near the top of the day&apos;s high-low range. OBV moved sharply lower because the close was below the prior close. The Accumulation Distribution Line moved higher because the close was near the high of the day. </w:t></w:r></w:p><w:p><w:pPr><w:pStyle w:val="style2"/><w:numPr><w:ilvl w:val="1"/><w:numId w:val="1"/></w:numPr></w:pPr><w:bookmarkStart w:id="9" w:name="trend_confirmation"/><w:bookmarkStart w:id="10" w:name="a5"/><w:bookmarkEnd w:id="9"/><w:bookmarkEnd w:id="10"/><w:r><w:rPr></w:rPr><w:t>Trend Confirmation</w:t></w:r></w:p><w:p><w:pPr><w:pStyle w:val="style20"/></w:pPr><w:r><w:rPr></w:rPr><w:t xml:space="preserve">Trend confirmation is a pretty straight-forward concept. An uptrend in the Accumulation Distribution Line reinforces an uptrend on the price chart and visa versa. The chart below shows Freeport McMoran (FCX) and the Accumulation Distribution Line advancing in February-March, declining from April to June and then advancing from July to January. The Accumulation Distribution Line confirmed each of these price trends. </w:t></w:r></w:p><w:p><w:pPr><w:pStyle w:val="style20"/></w:pPr><w:r><w:rPr></w:rPr><w:t xml:space="preserve"> </w:t></w:r></w:p><w:p><w:pPr><w:pStyle w:val="style2"/><w:numPr><w:ilvl w:val="1"/><w:numId w:val="1"/></w:numPr></w:pPr><w:bookmarkStart w:id="11" w:name="divergences"/><w:bookmarkStart w:id="12" w:name="a6"/><w:bookmarkEnd w:id="11"/><w:bookmarkEnd w:id="12"/><w:r><w:rPr></w:rPr><w:t>Divergences</w:t></w:r></w:p><w:p><w:pPr><w:pStyle w:val="style20"/></w:pPr><w:r><w:rPr></w:rPr><w:t xml:space="preserve">Bullish and bearish divergences are where it starts getting interesting. A bullish divergence forms when price moves to new lows, but the Accumulation Distribution Line does not confirm these lows and moves higher. A rising Accumulation Distribution Line shows, well, accumulation. Think of this as basically stealth buying pressure. Based on the theory that volume precedes price, chartists should be on alert for a bullish reversal on the price chart. </w:t></w:r></w:p><w:p><w:pPr><w:pStyle w:val="style20"/></w:pPr><w:r><w:rPr></w:rPr><w:t xml:space="preserve">The chart above shows Nordstrom (JWN) with the Accumulation Distribution Line. Notice how it is easy to compare price action when the indicator is placed &quot;behind&quot; the price plot. The indicator (pink) and the price trend moved in unison from February to June. Signs of accumulation emerged as the indicator bottomed in early July and started moving higher. JWN moved to a new low in late August. Even though the indicator showed signs of buying pressure, it was important to wait for a bullish catalyst or confirmation on the price chart. This catalyst came as the stock gapped up and surged on big volume. </w:t></w:r></w:p><w:p><w:pPr><w:pStyle w:val="style20"/></w:pPr><w:r><w:rPr></w:rPr><w:t xml:space="preserve">A bearish divergence forms when price moves to new highs, but the Accumulation Distribution Line does not confirm and moves lower. This shows distribution or underlying selling pressure that can foreshadow a bearish reversal on the price chart. </w:t></w:r></w:p><w:p><w:pPr><w:pStyle w:val="style20"/></w:pPr><w:r><w:rPr></w:rPr><w:t xml:space="preserve">The chart above shows Southwest Airlines (LUV) with the Accumulation Distribution Line peaking two months ahead of prices. The indicator not only peaked, but it also moved lower in March and April, which reflected some selling pressure. LUV confirmed weakness with a support break on the price chart and RSI moved below 40 shortly afterwards. RSI often trades in bull zones (40-80) and bear zones (20-60). </w:t></w:r><w:hyperlink r:id="rId3"><w:r><w:rPr><w:rStyle w:val="style15"/><w:rStyle w:val="style15"/></w:rPr><w:t>RSI</w:t></w:r></w:hyperlink><w:r><w:rPr></w:rPr><w:t xml:space="preserve"> held in the bull zone until early May and then moved into a bear zone. </w:t></w:r></w:p><w:p><w:pPr><w:pStyle w:val="style2"/><w:numPr><w:ilvl w:val="1"/><w:numId w:val="1"/></w:numPr></w:pPr><w:bookmarkStart w:id="13" w:name="disconnect_with_pric"/><w:bookmarkStart w:id="14" w:name="a7"/><w:bookmarkEnd w:id="13"/><w:bookmarkEnd w:id="14"/><w:r><w:rPr></w:rPr><w:t>Disconnect with Prices</w:t></w:r></w:p><w:p><w:pPr><w:pStyle w:val="style20"/></w:pPr><w:r><w:rPr></w:rPr><w:t xml:space="preserve">The Accumulation Distribution Line is an indicator based on a derivative of price and volume. This makes it at least two steps removed from the actual price of the underlying security. Moreover, the Money Flow Multiplier does not take into account price changes from period to period. As such, it cannot be expected to always affirm price action or successfully predict price reversals with divergences. Sometimes there is a, gasp, disconnect between prices and the indicator. Sometimes the Accumulation Distribution Line simply doesn&apos;t work. This is why it vitally important to use the Accumulation Distribution Line, and all indicators for that matter, in conjunction with price/trend analysis and/or other indicators. </w:t></w:r></w:p><w:p><w:pPr><w:pStyle w:val="style2"/><w:numPr><w:ilvl w:val="1"/><w:numId w:val="1"/></w:numPr></w:pPr><w:bookmarkStart w:id="15" w:name="conclusions"/><w:bookmarkStart w:id="16" w:name="a8"/><w:bookmarkEnd w:id="15"/><w:bookmarkEnd w:id="16"/><w:r><w:rPr></w:rPr><w:t>Conclusions</w:t></w:r></w:p><w:p><w:pPr><w:pStyle w:val="style0"/></w:pPr><w:r><w:rPr><w:rStyle w:val="style17"/></w:rPr><w:t>The Accumulation Distribution Line can be used to gauge the general flow of volume.</w:t></w:r><w:r><w:rPr></w:rPr><w:t xml:space="preserve"> An uptrend indicates that buying pressure is prevailing on a regular basis, while a downtrend indicates that selling pressure is prevailing. Bullish and bearish divergences serve as alerts for a potential reversal on the price chart. As with all indicators, it is important to use the Accumulation Distribution Line in conjunction with other aspects of technical analysis, such as </w:t></w:r><w:r><w:fldChar w:fldCharType="begin"></w:fldChar></w:r><w:r><w:instrText> HYPERLINK &quot;http://stockcharts.com/school/doku.php?id=chart_school:technical_indicators:introduction_to_tech&quot; \l &quot;momentum_oscillators&quot;</w:instrText></w:r><w:r><w:fldChar w:fldCharType="separate"/></w:r><w:r><w:rPr><w:rStyle w:val="style15"/><w:rStyle w:val="style15"/></w:rPr><w:t>momentum oscillator</w:t></w:r></w:hyperlink><w:r><w:fldChar w:fldCharType="end"/></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4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Liberation Serif" w:cs="Lohit Hindi" w:eastAsia="DejaVu Sans" w:hAnsi="Liberation Serif"/>
      <w:color w:val="00000A"/>
      <w:sz w:val="24"/>
      <w:szCs w:val="24"/>
      <w:lang w:bidi="hi-IN" w:eastAsia="zh-CN" w:val="en-IN"/>
    </w:rPr>
  </w:style>
  <w:style w:styleId="style1" w:type="paragraph">
    <w:name w:val="Heading 1"/>
    <w:basedOn w:val="style19"/>
    <w:next w:val="style20"/>
    <w:pPr/>
    <w:rPr>
      <w:rFonts w:ascii="Liberation Serif" w:cs="Lohit Hindi" w:eastAsia="DejaVu Sans" w:hAnsi="Liberation Serif"/>
      <w:b/>
      <w:bCs/>
      <w:sz w:val="48"/>
      <w:szCs w:val="48"/>
    </w:rPr>
  </w:style>
  <w:style w:styleId="style2" w:type="paragraph">
    <w:name w:val="Heading 2"/>
    <w:basedOn w:val="style19"/>
    <w:next w:val="style20"/>
    <w:pPr>
      <w:numPr>
        <w:ilvl w:val="1"/>
        <w:numId w:val="1"/>
      </w:numPr>
      <w:outlineLvl w:val="1"/>
    </w:pPr>
    <w:rPr>
      <w:rFonts w:ascii="Liberation Serif" w:cs="Lohit Hindi" w:eastAsia="DejaVu Sans" w:hAnsi="Liberation Serif"/>
      <w:b/>
      <w:bCs/>
      <w:sz w:val="36"/>
      <w:szCs w:val="36"/>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character">
    <w:name w:val="INS"/>
    <w:next w:val="style18"/>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reformatted Text"/>
    <w:basedOn w:val="style0"/>
    <w:next w:val="style24"/>
    <w:pPr>
      <w:spacing w:after="0" w:before="0"/>
      <w:contextualSpacing w:val="false"/>
    </w:pPr>
    <w:rPr>
      <w:rFonts w:ascii="DejaVu Sans Mono" w:cs="DejaVu Sans Mono" w:eastAsia="DejaVu Sans Mono" w:hAnsi="DejaVu Sans Mono"/>
      <w:sz w:val="20"/>
      <w:szCs w:val="20"/>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 w:styleId="style27" w:type="paragraph">
    <w:name w:val="Horizontal Line"/>
    <w:basedOn w:val="style0"/>
    <w:next w:val="style20"/>
    <w:pPr>
      <w:suppressLineNumbers/>
      <w:pBdr>
        <w:bottom w:color="808080" w:space="0" w:sz="2" w:val="double"/>
      </w:pBdr>
      <w:spacing w:after="283" w:before="0"/>
      <w:contextualSpacing w:val="false"/>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ckcharts.com/school/doku.php?id=chart_school:technical_indicators:on_balance_volume_obv" TargetMode="External"/><Relationship Id="rId3" Type="http://schemas.openxmlformats.org/officeDocument/2006/relationships/hyperlink" Target="http://stockcharts.com/school/doku.php?id=chart_school:technical_indicators:relative_strength_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2014-05-21T14:53:42.00Z</dcterms:created>
  <dcterms:modified xsi:type="dcterms:W3CDTF">2014-05-21T14:54:19.00Z</dcterms:modified>
  <cp:revision>1</cp:revision>
</cp:coreProperties>
</file>